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F9D" w:rsidRPr="00DF3FA1" w:rsidRDefault="009E3F9D" w:rsidP="00291790">
      <w:pPr>
        <w:pStyle w:val="Heading1"/>
        <w:spacing w:line="480" w:lineRule="auto"/>
        <w:jc w:val="both"/>
        <w:rPr>
          <w:sz w:val="24"/>
          <w:szCs w:val="24"/>
        </w:rPr>
      </w:pPr>
      <w:bookmarkStart w:id="0" w:name="_Toc183546514"/>
      <w:r w:rsidRPr="00DF3FA1">
        <w:rPr>
          <w:sz w:val="24"/>
          <w:szCs w:val="24"/>
        </w:rPr>
        <w:t>2.</w:t>
      </w:r>
      <w:r w:rsidRPr="00DF3FA1">
        <w:rPr>
          <w:sz w:val="24"/>
          <w:szCs w:val="24"/>
        </w:rPr>
        <w:tab/>
        <w:t>LITERATURE REVIEW</w:t>
      </w:r>
      <w:bookmarkEnd w:id="0"/>
    </w:p>
    <w:p w:rsidR="009E3F9D" w:rsidRPr="00DF3FA1" w:rsidRDefault="009E3F9D" w:rsidP="00291790">
      <w:pPr>
        <w:pStyle w:val="Heading1"/>
        <w:jc w:val="both"/>
      </w:pPr>
      <w:r w:rsidRPr="00DF3FA1">
        <w:t>2.1.</w:t>
      </w:r>
      <w:r w:rsidRPr="00DF3FA1">
        <w:tab/>
        <w:t>Form Concrete</w:t>
      </w:r>
    </w:p>
    <w:p w:rsidR="009E3F9D" w:rsidRPr="00187005" w:rsidRDefault="009E3F9D" w:rsidP="00291790">
      <w:pPr>
        <w:spacing w:after="0" w:line="480" w:lineRule="auto"/>
        <w:ind w:firstLine="720"/>
        <w:jc w:val="both"/>
      </w:pPr>
      <w:r>
        <w:t xml:space="preserve">HFC is a cost-effective and commonly available lightweight construction material that incorporates air voids created by the addition of pre-made foam to the concrete combination (G. </w:t>
      </w:r>
      <w:proofErr w:type="spellStart"/>
      <w:r>
        <w:t>Calis</w:t>
      </w:r>
      <w:proofErr w:type="spellEnd"/>
      <w:r>
        <w:t xml:space="preserve"> et al., 2021). It contains basic components like cement, water, fine sand, and stable foam. The density of foamed concrete can be modified from 100 kg/m</w:t>
      </w:r>
      <w:r w:rsidRPr="003A610A">
        <w:rPr>
          <w:vertAlign w:val="superscript"/>
        </w:rPr>
        <w:t>3</w:t>
      </w:r>
      <w:r>
        <w:t xml:space="preserve"> to 600 kg/m</w:t>
      </w:r>
      <w:r w:rsidRPr="003A610A">
        <w:rPr>
          <w:vertAlign w:val="superscript"/>
        </w:rPr>
        <w:t>3</w:t>
      </w:r>
      <w:r>
        <w:t xml:space="preserve"> to suit various construction requirements (M. </w:t>
      </w:r>
      <w:proofErr w:type="spellStart"/>
      <w:r>
        <w:t>Alharthai</w:t>
      </w:r>
      <w:proofErr w:type="spellEnd"/>
      <w:r>
        <w:t xml:space="preserve"> et al., 2024). It is suitable for both load-bearing and non-load-bearing applications, with very low densities being particularly useful in providing fire resistance, sound absorption, and thermal insulation. HFC is a porous cement-based product with a dry density of about 300 kg/m3 and a porosity of more than 80 % (pore size is greater than a few hundred microns) (W. Sheet al., 2014). The mechanical performance of HFC with varying densities has reported performance increases as the dry density increases (D. </w:t>
      </w:r>
      <w:proofErr w:type="spellStart"/>
      <w:r>
        <w:t>Falliano</w:t>
      </w:r>
      <w:proofErr w:type="spellEnd"/>
      <w:r>
        <w:t>., 2018).</w:t>
      </w:r>
    </w:p>
    <w:p w:rsidR="009E3F9D" w:rsidRDefault="009E3F9D" w:rsidP="00291790">
      <w:pPr>
        <w:spacing w:after="0" w:line="480" w:lineRule="auto"/>
        <w:ind w:firstLine="720"/>
        <w:jc w:val="both"/>
      </w:pPr>
      <w:r>
        <w:rPr>
          <w:rFonts w:cs="Times New Roman"/>
          <w:color w:val="1F1F1F"/>
        </w:rPr>
        <w:t>HFC</w:t>
      </w:r>
      <w:r w:rsidRPr="004F1FCF">
        <w:rPr>
          <w:rFonts w:cs="Times New Roman"/>
          <w:color w:val="1F1F1F"/>
        </w:rPr>
        <w:t xml:space="preserve"> is a lightweight concrete typically produced by integrating pre-formed foam into freshly prepared cement paste or mortar (</w:t>
      </w:r>
      <w:proofErr w:type="spellStart"/>
      <w:r w:rsidRPr="004F1FCF">
        <w:rPr>
          <w:rFonts w:cs="Times New Roman"/>
        </w:rPr>
        <w:t>Hashim</w:t>
      </w:r>
      <w:proofErr w:type="spellEnd"/>
      <w:r w:rsidRPr="004F1FCF">
        <w:rPr>
          <w:rFonts w:cs="Times New Roman"/>
        </w:rPr>
        <w:t xml:space="preserve"> &amp; </w:t>
      </w:r>
      <w:proofErr w:type="spellStart"/>
      <w:r w:rsidRPr="004F1FCF">
        <w:rPr>
          <w:rFonts w:cs="Times New Roman"/>
        </w:rPr>
        <w:t>Tantray</w:t>
      </w:r>
      <w:proofErr w:type="spellEnd"/>
      <w:r w:rsidRPr="004F1FCF">
        <w:rPr>
          <w:rFonts w:cs="Times New Roman"/>
        </w:rPr>
        <w:t xml:space="preserve"> 2021)</w:t>
      </w:r>
      <w:r w:rsidRPr="004F1FCF">
        <w:rPr>
          <w:rFonts w:cs="Times New Roman"/>
          <w:color w:val="1F1F1F"/>
        </w:rPr>
        <w:t>.</w:t>
      </w:r>
      <w:r w:rsidRPr="004F1FCF">
        <w:rPr>
          <w:rFonts w:cs="Times New Roman"/>
        </w:rPr>
        <w:t xml:space="preserve"> </w:t>
      </w:r>
      <w:r>
        <w:rPr>
          <w:rFonts w:cs="Times New Roman"/>
        </w:rPr>
        <w:t>HFC</w:t>
      </w:r>
      <w:r>
        <w:t xml:space="preserve"> is formulated by amalgamating cement slurry, foaming agents, and pertinent additives. Its unique structure, characterized by numerous minuscule air or gas-induced bubbles, endows lightweight foam concrete with reduced density and increased porosity. Previous studies have demonstrated its superior thermal insulation capabilities and exceptional sound absorption effects (Yoon et al., 2020; </w:t>
      </w:r>
      <w:proofErr w:type="spellStart"/>
      <w:r>
        <w:t>Amran</w:t>
      </w:r>
      <w:proofErr w:type="spellEnd"/>
      <w:r>
        <w:t xml:space="preserve"> et al., 2015).</w:t>
      </w:r>
    </w:p>
    <w:p w:rsidR="009E3F9D" w:rsidRPr="00DF3FA1" w:rsidRDefault="009E3F9D" w:rsidP="00291790">
      <w:pPr>
        <w:spacing w:after="0" w:line="480" w:lineRule="auto"/>
        <w:ind w:firstLine="720"/>
        <w:jc w:val="both"/>
        <w:rPr>
          <w:rFonts w:asciiTheme="majorBidi" w:hAnsiTheme="majorBidi" w:cstheme="majorBidi"/>
          <w:szCs w:val="24"/>
        </w:rPr>
      </w:pPr>
      <w:r w:rsidRPr="00DF3FA1">
        <w:rPr>
          <w:rFonts w:asciiTheme="majorBidi" w:hAnsiTheme="majorBidi" w:cstheme="majorBidi"/>
          <w:szCs w:val="24"/>
        </w:rPr>
        <w:t xml:space="preserve">The relevant mechanical research on foamed concrete materials is mainly focused on static properties. A high-performance foamed concrete mixture and proposed prediction models for the mechanical properties by regression analysis were developed on a large amount of test data. </w:t>
      </w:r>
      <w:proofErr w:type="spellStart"/>
      <w:r w:rsidRPr="00DF3FA1">
        <w:rPr>
          <w:rFonts w:asciiTheme="majorBidi" w:hAnsiTheme="majorBidi" w:cstheme="majorBidi"/>
          <w:szCs w:val="24"/>
        </w:rPr>
        <w:t>Kearsley</w:t>
      </w:r>
      <w:proofErr w:type="spellEnd"/>
      <w:r w:rsidRPr="00DF3FA1">
        <w:rPr>
          <w:rFonts w:asciiTheme="majorBidi" w:hAnsiTheme="majorBidi" w:cstheme="majorBidi"/>
          <w:szCs w:val="24"/>
        </w:rPr>
        <w:t xml:space="preserve"> and Wainwright (2001) carried out many experiments to obtain an optimized mixing </w:t>
      </w:r>
      <w:r w:rsidRPr="00DF3FA1">
        <w:rPr>
          <w:rFonts w:asciiTheme="majorBidi" w:hAnsiTheme="majorBidi" w:cstheme="majorBidi"/>
          <w:szCs w:val="24"/>
        </w:rPr>
        <w:lastRenderedPageBreak/>
        <w:t xml:space="preserve">ratio of fly ash and cement. They studied the effect of the porosity and fly ash content on the compressive strength of foamed concrete. The effects of three different foaming agents on the mechanical properties and pore structure of foamed concrete with alkali-activated slag cement were also investigated.  A damage mechanics model that described the nonlinear mechanical behavior of foamed concrete by performing a series of uniaxial compression tests considering the temperatures and strain rates was established. A constitutive model of damage to forecast the nonlinear responses based on the mechanical behavior of foamed concrete under uniaxial compression was also proposed. In addition, a yield criterion considering hydrostatic tension was put forward to describe the multiaxial mechanical properties and was verified by a comparison with the results of tri-axial experiments. </w:t>
      </w:r>
    </w:p>
    <w:p w:rsidR="009E3F9D" w:rsidRPr="00DF3FA1" w:rsidRDefault="009E3F9D" w:rsidP="00291790">
      <w:pPr>
        <w:spacing w:after="0" w:line="480" w:lineRule="auto"/>
        <w:ind w:firstLine="720"/>
        <w:jc w:val="both"/>
        <w:rPr>
          <w:rFonts w:asciiTheme="majorBidi" w:hAnsiTheme="majorBidi" w:cstheme="majorBidi"/>
          <w:szCs w:val="24"/>
        </w:rPr>
      </w:pPr>
      <w:r w:rsidRPr="00DF3FA1">
        <w:rPr>
          <w:rFonts w:asciiTheme="majorBidi" w:hAnsiTheme="majorBidi" w:cstheme="majorBidi"/>
          <w:szCs w:val="24"/>
        </w:rPr>
        <w:t>Furthermore, a sensitivity analysis was conducted to investigate the effects of the density and the water-to-cement and sand-to-cement ratios on the compressive strength. A prediction for the compressive strength based on the fractal dimension of the porous structure in foamed concrete was proposed. A variety of uniaxial compressive tests for foamed concrete specimens with various height-to-diameter ratios and densities to obtain the relations between the mechanical characteristics and height-to-diameter ratios were designed (Feng. S. 2020).</w:t>
      </w:r>
    </w:p>
    <w:p w:rsidR="00E4313E" w:rsidRPr="00DF3FA1" w:rsidRDefault="00E4313E" w:rsidP="00291790">
      <w:pPr>
        <w:pStyle w:val="Heading2"/>
        <w:jc w:val="both"/>
      </w:pPr>
      <w:r w:rsidRPr="00DF3FA1">
        <w:t>2.1.1</w:t>
      </w:r>
      <w:r w:rsidRPr="00DF3FA1">
        <w:tab/>
        <w:t>Properties</w:t>
      </w:r>
    </w:p>
    <w:p w:rsidR="00E4313E" w:rsidRPr="00DF3FA1" w:rsidRDefault="00E4313E" w:rsidP="00291790">
      <w:pPr>
        <w:jc w:val="both"/>
        <w:rPr>
          <w:szCs w:val="24"/>
        </w:rPr>
      </w:pPr>
    </w:p>
    <w:p w:rsidR="00E4313E" w:rsidRDefault="00E4313E" w:rsidP="00291790">
      <w:pPr>
        <w:spacing w:after="0" w:line="480" w:lineRule="auto"/>
        <w:ind w:firstLine="720"/>
        <w:jc w:val="both"/>
        <w:rPr>
          <w:rFonts w:asciiTheme="majorBidi" w:hAnsiTheme="majorBidi" w:cstheme="majorBidi"/>
          <w:szCs w:val="24"/>
        </w:rPr>
      </w:pPr>
      <w:r w:rsidRPr="00DF3FA1">
        <w:rPr>
          <w:rFonts w:asciiTheme="majorBidi" w:hAnsiTheme="majorBidi" w:cstheme="majorBidi"/>
          <w:szCs w:val="24"/>
        </w:rPr>
        <w:t>Foam concrete is characterized by its unique combination of lightweight composition and versatility in thermal, acoustic, and mechanical properties. This composition stems from a cement-based matrix mixed with a stable foam that introduces numerous air voids. These air-filled voids, ranging from a few micrometers to several millimeters in diameter, contribute to foam concrete’s distinct characteristics. This section provides an in-depth look at the essential properties of foam concrete, highlighting factors that influence each attribute.</w:t>
      </w:r>
    </w:p>
    <w:p w:rsidR="00E4313E" w:rsidRDefault="00E4313E" w:rsidP="00291790">
      <w:pPr>
        <w:pStyle w:val="Heading3"/>
        <w:jc w:val="both"/>
        <w:rPr>
          <w:sz w:val="20"/>
          <w:szCs w:val="20"/>
        </w:rPr>
      </w:pPr>
      <w:r>
        <w:lastRenderedPageBreak/>
        <w:t>2.1.1.1.</w:t>
      </w:r>
      <w:r>
        <w:tab/>
        <w:t>Mechanical and Physical Properties</w:t>
      </w:r>
      <w:r>
        <w:rPr>
          <w:sz w:val="20"/>
          <w:szCs w:val="20"/>
        </w:rPr>
        <w:t xml:space="preserve"> </w:t>
      </w:r>
    </w:p>
    <w:p w:rsidR="00E4313E" w:rsidRPr="000E5EE9" w:rsidRDefault="00E4313E" w:rsidP="00291790">
      <w:pPr>
        <w:jc w:val="both"/>
      </w:pPr>
    </w:p>
    <w:p w:rsidR="00E4313E" w:rsidRDefault="00E4313E" w:rsidP="00291790">
      <w:pPr>
        <w:autoSpaceDE w:val="0"/>
        <w:autoSpaceDN w:val="0"/>
        <w:adjustRightInd w:val="0"/>
        <w:spacing w:after="0" w:line="480" w:lineRule="auto"/>
        <w:ind w:firstLine="360"/>
        <w:jc w:val="both"/>
        <w:rPr>
          <w:rFonts w:asciiTheme="majorBidi" w:hAnsiTheme="majorBidi" w:cstheme="majorBidi"/>
          <w:szCs w:val="24"/>
        </w:rPr>
      </w:pPr>
      <w:r>
        <w:rPr>
          <w:rFonts w:asciiTheme="majorBidi" w:hAnsiTheme="majorBidi" w:cstheme="majorBidi"/>
          <w:szCs w:val="24"/>
        </w:rPr>
        <w:t>Mechanical properties are considered the most important factor in measuring the applicability of foamed concrete in the hardened state. Foam concrete's mechanical properties such as compressive strength, flexural strength, and modulus of elasticity are central to its performance in structural and semi-structural applications. The material’s behavior under load is influenced by its cellular structure, density, and composition. Typically, foam concrete has lower mechanical strength than conventional concrete due to its high air content, but optimization through mix design and reinforcement enables its application in various structural roles.</w:t>
      </w:r>
    </w:p>
    <w:p w:rsidR="00E4313E" w:rsidRPr="00DF3FA1" w:rsidRDefault="00E4313E" w:rsidP="00291790">
      <w:pPr>
        <w:pStyle w:val="ListParagraph"/>
        <w:numPr>
          <w:ilvl w:val="0"/>
          <w:numId w:val="1"/>
        </w:numPr>
        <w:autoSpaceDE w:val="0"/>
        <w:autoSpaceDN w:val="0"/>
        <w:adjustRightInd w:val="0"/>
        <w:spacing w:after="0" w:line="480" w:lineRule="auto"/>
        <w:jc w:val="both"/>
        <w:rPr>
          <w:rFonts w:asciiTheme="majorBidi" w:hAnsiTheme="majorBidi" w:cstheme="majorBidi"/>
          <w:b/>
          <w:bCs/>
          <w:szCs w:val="24"/>
        </w:rPr>
      </w:pPr>
      <w:r w:rsidRPr="00DF3FA1">
        <w:rPr>
          <w:rFonts w:cs="Times New Roman"/>
          <w:szCs w:val="24"/>
        </w:rPr>
        <w:t>Compressive Strength</w:t>
      </w:r>
    </w:p>
    <w:p w:rsidR="00E4313E" w:rsidRPr="00B21997" w:rsidRDefault="00E4313E" w:rsidP="00291790">
      <w:pPr>
        <w:autoSpaceDE w:val="0"/>
        <w:autoSpaceDN w:val="0"/>
        <w:adjustRightInd w:val="0"/>
        <w:spacing w:after="0" w:line="480" w:lineRule="auto"/>
        <w:ind w:firstLine="360"/>
        <w:jc w:val="both"/>
        <w:rPr>
          <w:rFonts w:asciiTheme="majorBidi" w:hAnsiTheme="majorBidi" w:cstheme="majorBidi"/>
          <w:b/>
          <w:bCs/>
          <w:szCs w:val="24"/>
        </w:rPr>
      </w:pPr>
      <w:r w:rsidRPr="00B21997">
        <w:rPr>
          <w:rFonts w:asciiTheme="majorBidi" w:hAnsiTheme="majorBidi" w:cstheme="majorBidi"/>
          <w:szCs w:val="24"/>
        </w:rPr>
        <w:t>Compressive strength is one of the most important mechanical properties of foam concrete, and it is often determined by its suitability for structural and load-bearing applications. The compressive strength of foam concrete generally ranges from 1 MPa to over 30 MPa, depending on its density and mix composition (Jones &amp; McCarthy, 2005). Factors influencing compressive strength include:</w:t>
      </w:r>
    </w:p>
    <w:p w:rsidR="00E4313E" w:rsidRDefault="00E4313E" w:rsidP="00291790">
      <w:pPr>
        <w:pStyle w:val="ListParagraph"/>
        <w:numPr>
          <w:ilvl w:val="0"/>
          <w:numId w:val="1"/>
        </w:numPr>
        <w:autoSpaceDE w:val="0"/>
        <w:autoSpaceDN w:val="0"/>
        <w:adjustRightInd w:val="0"/>
        <w:spacing w:after="0" w:line="480" w:lineRule="auto"/>
        <w:jc w:val="both"/>
        <w:rPr>
          <w:rFonts w:asciiTheme="majorBidi" w:hAnsiTheme="majorBidi" w:cstheme="majorBidi"/>
          <w:szCs w:val="24"/>
        </w:rPr>
      </w:pPr>
      <w:r>
        <w:rPr>
          <w:rFonts w:asciiTheme="majorBidi" w:hAnsiTheme="majorBidi" w:cstheme="majorBidi"/>
          <w:szCs w:val="24"/>
        </w:rPr>
        <w:t>Density</w:t>
      </w:r>
    </w:p>
    <w:p w:rsidR="00E4313E" w:rsidRPr="00B21997" w:rsidRDefault="00E4313E" w:rsidP="00291790">
      <w:pPr>
        <w:autoSpaceDE w:val="0"/>
        <w:autoSpaceDN w:val="0"/>
        <w:adjustRightInd w:val="0"/>
        <w:spacing w:after="0" w:line="480" w:lineRule="auto"/>
        <w:ind w:firstLine="360"/>
        <w:jc w:val="both"/>
        <w:rPr>
          <w:rFonts w:asciiTheme="majorBidi" w:hAnsiTheme="majorBidi" w:cstheme="majorBidi"/>
          <w:szCs w:val="24"/>
        </w:rPr>
      </w:pPr>
      <w:r w:rsidRPr="00B21997">
        <w:rPr>
          <w:rFonts w:asciiTheme="majorBidi" w:hAnsiTheme="majorBidi" w:cstheme="majorBidi"/>
          <w:szCs w:val="24"/>
        </w:rPr>
        <w:t>Foam concrete’s compressive strength increases with density, as higher densities contain less foam, resulting in a denser, more compact matrix. Low-density foam concrete (300–800 kg/m³) typically achieves compressive strengths below 5 MPa, while high-density mixes (over 1,200 kg/m³) can reach 30 MPa or more.</w:t>
      </w:r>
    </w:p>
    <w:p w:rsidR="00E4313E" w:rsidRPr="00B21997" w:rsidRDefault="00E4313E" w:rsidP="00291790">
      <w:pPr>
        <w:autoSpaceDE w:val="0"/>
        <w:autoSpaceDN w:val="0"/>
        <w:adjustRightInd w:val="0"/>
        <w:spacing w:after="0" w:line="480" w:lineRule="auto"/>
        <w:ind w:firstLine="360"/>
        <w:jc w:val="both"/>
        <w:rPr>
          <w:rFonts w:asciiTheme="majorBidi" w:hAnsiTheme="majorBidi" w:cstheme="majorBidi"/>
          <w:szCs w:val="24"/>
        </w:rPr>
      </w:pPr>
      <w:r w:rsidRPr="00B21997">
        <w:rPr>
          <w:rFonts w:asciiTheme="majorBidi" w:hAnsiTheme="majorBidi" w:cstheme="majorBidi"/>
          <w:szCs w:val="24"/>
        </w:rPr>
        <w:t xml:space="preserve">A higher foam content typically decreases compressive strength due to the increased volume of air voids. The stability of the foam, influenced by the foaming agent and mixing technique, also impacts strength. Increasing cement content generally improves compressive strength. Additives like fly ash, silica fume, and ground granulated blast furnace slag (GGBS) can improve strength </w:t>
      </w:r>
      <w:r w:rsidRPr="00B21997">
        <w:rPr>
          <w:rFonts w:asciiTheme="majorBidi" w:hAnsiTheme="majorBidi" w:cstheme="majorBidi"/>
          <w:szCs w:val="24"/>
        </w:rPr>
        <w:lastRenderedPageBreak/>
        <w:t>by densifying the matrix and reducing porosity (</w:t>
      </w:r>
      <w:proofErr w:type="spellStart"/>
      <w:r w:rsidRPr="00B21997">
        <w:rPr>
          <w:rFonts w:asciiTheme="majorBidi" w:hAnsiTheme="majorBidi" w:cstheme="majorBidi"/>
          <w:szCs w:val="24"/>
        </w:rPr>
        <w:t>Kearsley</w:t>
      </w:r>
      <w:proofErr w:type="spellEnd"/>
      <w:r w:rsidRPr="00B21997">
        <w:rPr>
          <w:rFonts w:asciiTheme="majorBidi" w:hAnsiTheme="majorBidi" w:cstheme="majorBidi"/>
          <w:szCs w:val="24"/>
        </w:rPr>
        <w:t xml:space="preserve"> &amp; Wainwright, 2001). Proper curing enhances compressive strength by preventing rapid moisture loss, which can lead to shrinkage and reduced strength. Moist curing or steam curing may be used to achieve higher strengths.</w:t>
      </w:r>
    </w:p>
    <w:p w:rsidR="00E4313E" w:rsidRPr="00B21997" w:rsidRDefault="00E4313E" w:rsidP="00291790">
      <w:pPr>
        <w:autoSpaceDE w:val="0"/>
        <w:autoSpaceDN w:val="0"/>
        <w:adjustRightInd w:val="0"/>
        <w:spacing w:after="0" w:line="480" w:lineRule="auto"/>
        <w:ind w:firstLine="360"/>
        <w:jc w:val="both"/>
        <w:rPr>
          <w:rFonts w:asciiTheme="majorBidi" w:hAnsiTheme="majorBidi" w:cstheme="majorBidi"/>
          <w:color w:val="000000"/>
          <w:szCs w:val="24"/>
        </w:rPr>
      </w:pPr>
      <w:r w:rsidRPr="00B21997">
        <w:rPr>
          <w:rFonts w:asciiTheme="majorBidi" w:hAnsiTheme="majorBidi" w:cstheme="majorBidi"/>
          <w:color w:val="000000"/>
          <w:szCs w:val="24"/>
        </w:rPr>
        <w:t>Experimentally, it is observed that compressive strength has a direct relationship with density where a reduction in density exponentially and adversely affects the compressive strength. As can be seen, the dry densities in previous studies ranged between 280 and 1800 kg/m3 by which a remarkable change in the compressive strength was observed. In general, compressive strength depends on different parameters such as the rate of foam agent, water/cement ratio, sand particle type, the curing method, cement–sand ratio, and characteristics of additional ingredients and their distribution.</w:t>
      </w:r>
    </w:p>
    <w:p w:rsidR="00E4313E" w:rsidRDefault="00E4313E" w:rsidP="00291790">
      <w:pPr>
        <w:autoSpaceDE w:val="0"/>
        <w:autoSpaceDN w:val="0"/>
        <w:adjustRightInd w:val="0"/>
        <w:spacing w:after="0" w:line="480" w:lineRule="auto"/>
        <w:ind w:firstLine="360"/>
        <w:jc w:val="both"/>
        <w:rPr>
          <w:rFonts w:asciiTheme="majorBidi" w:hAnsiTheme="majorBidi" w:cstheme="majorBidi"/>
          <w:color w:val="000000"/>
          <w:szCs w:val="24"/>
        </w:rPr>
      </w:pPr>
      <w:r w:rsidRPr="00B21997">
        <w:rPr>
          <w:rFonts w:asciiTheme="majorBidi" w:hAnsiTheme="majorBidi" w:cstheme="majorBidi"/>
          <w:color w:val="000000"/>
          <w:szCs w:val="24"/>
        </w:rPr>
        <w:t>One of the major controlling factors in the compressive strength of the mix is the volume/density of the foaming agent by which the amount of air voids in the hardened foamed concrete varies. For example, when the plastic densities of foamed concrete were 1800 kg/m3 and 280 kg/m3, the associated compressive strength at 28 days was 43 MPa and 0.6 MPa, respectively. The excessive addition of foam agents depleted the compressive strength because the higher volume of foam agents commonly created air voids, resulting in a lower density.</w:t>
      </w:r>
      <w:r>
        <w:rPr>
          <w:rFonts w:asciiTheme="majorBidi" w:hAnsiTheme="majorBidi" w:cstheme="majorBidi"/>
          <w:color w:val="000000"/>
          <w:szCs w:val="24"/>
        </w:rPr>
        <w:t xml:space="preserve"> </w:t>
      </w:r>
      <w:r w:rsidRPr="00B21997">
        <w:rPr>
          <w:rFonts w:asciiTheme="majorBidi" w:hAnsiTheme="majorBidi" w:cstheme="majorBidi"/>
          <w:szCs w:val="24"/>
        </w:rPr>
        <w:t>The water/cement ratio is another controlling factor that influences the compressive strength of the foamed concrete. An appropriate water content enhances the consistency and stability of the mix and reduces the large-size foam bubbles, which increases the compressive strength.</w:t>
      </w:r>
      <w:r>
        <w:rPr>
          <w:rFonts w:asciiTheme="majorBidi" w:hAnsiTheme="majorBidi" w:cstheme="majorBidi"/>
          <w:color w:val="000000"/>
          <w:szCs w:val="24"/>
        </w:rPr>
        <w:t xml:space="preserve"> </w:t>
      </w:r>
    </w:p>
    <w:p w:rsidR="00E4313E" w:rsidRPr="00B21997" w:rsidRDefault="00E4313E" w:rsidP="00291790">
      <w:pPr>
        <w:autoSpaceDE w:val="0"/>
        <w:autoSpaceDN w:val="0"/>
        <w:adjustRightInd w:val="0"/>
        <w:spacing w:after="0" w:line="480" w:lineRule="auto"/>
        <w:ind w:firstLine="360"/>
        <w:jc w:val="both"/>
        <w:rPr>
          <w:rFonts w:asciiTheme="majorBidi" w:hAnsiTheme="majorBidi" w:cstheme="majorBidi"/>
          <w:color w:val="000000"/>
          <w:szCs w:val="24"/>
        </w:rPr>
      </w:pPr>
      <w:r w:rsidRPr="00B21997">
        <w:rPr>
          <w:rFonts w:asciiTheme="majorBidi" w:hAnsiTheme="majorBidi" w:cstheme="majorBidi"/>
          <w:color w:val="000000"/>
          <w:szCs w:val="24"/>
        </w:rPr>
        <w:t xml:space="preserve">The curing method is another key factor that influences the compressive strength of foamed concrete. According to (ASTM C 796), lightweight and cellular concrete samples used to conduct compression tests should be cured in a moist room with 100% relative humidity (RH) for at least three days before testing. The samples should be taken out from the curing room and oven-dried </w:t>
      </w:r>
      <w:r w:rsidRPr="00B21997">
        <w:rPr>
          <w:rFonts w:asciiTheme="majorBidi" w:hAnsiTheme="majorBidi" w:cstheme="majorBidi"/>
          <w:color w:val="000000"/>
          <w:szCs w:val="24"/>
        </w:rPr>
        <w:lastRenderedPageBreak/>
        <w:t>at 60 _C for 72 h. it was</w:t>
      </w:r>
      <w:r w:rsidRPr="00B21997">
        <w:rPr>
          <w:rFonts w:asciiTheme="majorBidi" w:hAnsiTheme="majorBidi" w:cstheme="majorBidi"/>
          <w:color w:val="0080AE"/>
          <w:szCs w:val="24"/>
        </w:rPr>
        <w:t xml:space="preserve"> </w:t>
      </w:r>
      <w:r w:rsidRPr="00B21997">
        <w:rPr>
          <w:rFonts w:asciiTheme="majorBidi" w:hAnsiTheme="majorBidi" w:cstheme="majorBidi"/>
          <w:color w:val="000000"/>
          <w:szCs w:val="24"/>
        </w:rPr>
        <w:t>reported that to obtain the desired compressive strength, the samples should be cured in normal moist air for one day and then in steam where the temperature should increase to 20 _C/ h to preserve at 65 _C for 4 h and then cooled in the air (</w:t>
      </w:r>
      <w:proofErr w:type="spellStart"/>
      <w:r w:rsidRPr="00B21997">
        <w:rPr>
          <w:rFonts w:asciiTheme="majorBidi" w:hAnsiTheme="majorBidi" w:cstheme="majorBidi"/>
          <w:color w:val="000000"/>
          <w:szCs w:val="24"/>
        </w:rPr>
        <w:t>Amran</w:t>
      </w:r>
      <w:proofErr w:type="spellEnd"/>
      <w:r w:rsidRPr="00B21997">
        <w:rPr>
          <w:rFonts w:asciiTheme="majorBidi" w:hAnsiTheme="majorBidi" w:cstheme="majorBidi"/>
          <w:color w:val="000000"/>
          <w:szCs w:val="24"/>
        </w:rPr>
        <w:t>, Y. H. M., et al. 2015)</w:t>
      </w:r>
    </w:p>
    <w:p w:rsidR="00E4313E" w:rsidRDefault="00E4313E" w:rsidP="00291790">
      <w:pPr>
        <w:pStyle w:val="ListParagraph"/>
        <w:numPr>
          <w:ilvl w:val="0"/>
          <w:numId w:val="1"/>
        </w:numPr>
        <w:autoSpaceDE w:val="0"/>
        <w:autoSpaceDN w:val="0"/>
        <w:adjustRightInd w:val="0"/>
        <w:spacing w:after="0" w:line="480" w:lineRule="auto"/>
        <w:jc w:val="both"/>
      </w:pPr>
      <w:r>
        <w:t>Flexural Strength</w:t>
      </w:r>
    </w:p>
    <w:p w:rsidR="00E4313E" w:rsidRPr="00B21997" w:rsidRDefault="00E4313E" w:rsidP="00291790">
      <w:pPr>
        <w:autoSpaceDE w:val="0"/>
        <w:autoSpaceDN w:val="0"/>
        <w:adjustRightInd w:val="0"/>
        <w:spacing w:after="0" w:line="480" w:lineRule="auto"/>
        <w:ind w:firstLine="360"/>
        <w:jc w:val="both"/>
        <w:rPr>
          <w:rFonts w:asciiTheme="majorBidi" w:hAnsiTheme="majorBidi" w:cstheme="majorBidi"/>
          <w:szCs w:val="24"/>
        </w:rPr>
      </w:pPr>
      <w:r w:rsidRPr="00B21997">
        <w:rPr>
          <w:rFonts w:asciiTheme="majorBidi" w:hAnsiTheme="majorBidi" w:cstheme="majorBidi"/>
          <w:color w:val="000000"/>
          <w:szCs w:val="24"/>
        </w:rPr>
        <w:t>The ratio of flexural strength to compressive strength of cellular concrete is in the range of 0.25–0.35. Splitting tensile strengths of foam concrete are lower than those of equivalent normal weight and lightweight aggregate concrete with higher values observed for mixes with sand than those with fly ash. This increase is attributed to the improved shear capacity between the sand particle and the paste phase. The use of Polypropylene fibers has been reported to enhance the performance concerning tensile and flexural strength of foam concrete, provided it does not affect fresh concrete behavior and self-compaction (</w:t>
      </w:r>
      <w:r w:rsidRPr="00B21997">
        <w:rPr>
          <w:rFonts w:asciiTheme="majorBidi" w:hAnsiTheme="majorBidi" w:cstheme="majorBidi"/>
          <w:szCs w:val="24"/>
        </w:rPr>
        <w:t>K. Ramamurthy, 2009). The factors that influence the flexural strength of foam concrete are as follows:</w:t>
      </w:r>
    </w:p>
    <w:p w:rsidR="00E4313E" w:rsidRDefault="00E4313E" w:rsidP="00291790">
      <w:pPr>
        <w:pStyle w:val="NormalWeb"/>
        <w:numPr>
          <w:ilvl w:val="0"/>
          <w:numId w:val="2"/>
        </w:numPr>
        <w:spacing w:before="0" w:beforeAutospacing="0" w:after="0" w:afterAutospacing="0" w:line="480" w:lineRule="auto"/>
        <w:jc w:val="both"/>
        <w:rPr>
          <w:rFonts w:asciiTheme="majorBidi" w:hAnsiTheme="majorBidi" w:cstheme="majorBidi"/>
        </w:rPr>
      </w:pPr>
      <w:r w:rsidRPr="00B21997">
        <w:rPr>
          <w:rStyle w:val="Strong"/>
          <w:rFonts w:asciiTheme="majorBidi" w:hAnsiTheme="majorBidi" w:cstheme="majorBidi"/>
        </w:rPr>
        <w:t>Density and Cement Content</w:t>
      </w:r>
      <w:r>
        <w:rPr>
          <w:rFonts w:asciiTheme="majorBidi" w:hAnsiTheme="majorBidi" w:cstheme="majorBidi"/>
        </w:rPr>
        <w:t>: Flexural strength in foam concrete is closely tied to density. Higher-density foam concrete has a more compact matrix with fewer and smaller air voids, which allows it to resist bending forces more effectively. Low-density foam concrete typically has a flexural strength of less than 1 MPa, while high-density mixes can reach flexural strengths between 3 and 5 MPa (</w:t>
      </w:r>
      <w:proofErr w:type="spellStart"/>
      <w:r>
        <w:rPr>
          <w:rFonts w:asciiTheme="majorBidi" w:hAnsiTheme="majorBidi" w:cstheme="majorBidi"/>
        </w:rPr>
        <w:t>Kearsley</w:t>
      </w:r>
      <w:proofErr w:type="spellEnd"/>
      <w:r>
        <w:rPr>
          <w:rFonts w:asciiTheme="majorBidi" w:hAnsiTheme="majorBidi" w:cstheme="majorBidi"/>
        </w:rPr>
        <w:t xml:space="preserve"> &amp; Wainwright, 2001).</w:t>
      </w:r>
    </w:p>
    <w:p w:rsidR="00E4313E" w:rsidRDefault="00E4313E" w:rsidP="00291790">
      <w:pPr>
        <w:pStyle w:val="NormalWeb"/>
        <w:numPr>
          <w:ilvl w:val="0"/>
          <w:numId w:val="2"/>
        </w:numPr>
        <w:spacing w:before="0" w:beforeAutospacing="0" w:after="0" w:afterAutospacing="0" w:line="480" w:lineRule="auto"/>
        <w:jc w:val="both"/>
        <w:rPr>
          <w:rFonts w:asciiTheme="majorBidi" w:hAnsiTheme="majorBidi" w:cstheme="majorBidi"/>
        </w:rPr>
      </w:pPr>
      <w:r w:rsidRPr="009D624D">
        <w:rPr>
          <w:rStyle w:val="Strong"/>
          <w:rFonts w:asciiTheme="majorBidi" w:hAnsiTheme="majorBidi" w:cstheme="majorBidi"/>
        </w:rPr>
        <w:t>Type and Quality of Foaming Agent</w:t>
      </w:r>
      <w:r w:rsidRPr="009D624D">
        <w:rPr>
          <w:rFonts w:asciiTheme="majorBidi" w:hAnsiTheme="majorBidi" w:cstheme="majorBidi"/>
          <w:b/>
        </w:rPr>
        <w:t>:</w:t>
      </w:r>
      <w:r>
        <w:rPr>
          <w:rFonts w:asciiTheme="majorBidi" w:hAnsiTheme="majorBidi" w:cstheme="majorBidi"/>
        </w:rPr>
        <w:t xml:space="preserve"> The stability and uniformity of the foam play a vital role in flexural strength. Stable foams produce a more consistent air-void structure within the concrete, which helps evenly distribute stress across the material. The type of foaming agent used impacts foam stability; natural surfactants </w:t>
      </w:r>
      <w:r>
        <w:rPr>
          <w:rFonts w:asciiTheme="majorBidi" w:hAnsiTheme="majorBidi" w:cstheme="majorBidi"/>
        </w:rPr>
        <w:lastRenderedPageBreak/>
        <w:t>like palm kernel oil-based surfactants can create more uniform and stable foams, which enhances flexural strength by ensuring fewer void clusters and more even stress distribution.</w:t>
      </w:r>
    </w:p>
    <w:p w:rsidR="00E4313E" w:rsidRDefault="00E4313E" w:rsidP="00291790">
      <w:pPr>
        <w:pStyle w:val="NormalWeb"/>
        <w:spacing w:before="0" w:beforeAutospacing="0" w:after="0" w:afterAutospacing="0" w:line="480" w:lineRule="auto"/>
        <w:ind w:firstLine="720"/>
        <w:jc w:val="both"/>
        <w:rPr>
          <w:rFonts w:asciiTheme="majorBidi" w:hAnsiTheme="majorBidi" w:cstheme="majorBidi"/>
        </w:rPr>
      </w:pPr>
      <w:r>
        <w:rPr>
          <w:rFonts w:asciiTheme="majorBidi" w:hAnsiTheme="majorBidi" w:cstheme="majorBidi"/>
        </w:rPr>
        <w:t>The use of hybrid natural surfactants, offers new possibilities for improving foam stability and flexural strength. These surfactants provide more stable foams with uniform air-void distribution, which prevents clustering and creates a matrix capable of distributing flexural stress more evenly. Additionally, natural surfactants can reduce production costs and environmental impact, promoting sustainable development in foam concrete applications (Zhang et al., 2024).</w:t>
      </w:r>
    </w:p>
    <w:p w:rsidR="00E4313E" w:rsidRPr="000E5EE9" w:rsidRDefault="00E4313E" w:rsidP="00291790">
      <w:pPr>
        <w:pStyle w:val="NormalWeb"/>
        <w:spacing w:before="0" w:beforeAutospacing="0" w:after="0" w:afterAutospacing="0" w:line="480" w:lineRule="auto"/>
        <w:jc w:val="both"/>
        <w:rPr>
          <w:rFonts w:asciiTheme="majorBidi" w:hAnsiTheme="majorBidi" w:cstheme="majorBidi"/>
          <w:b/>
        </w:rPr>
      </w:pPr>
      <w:r w:rsidRPr="000E5EE9">
        <w:rPr>
          <w:rFonts w:asciiTheme="majorBidi" w:hAnsiTheme="majorBidi" w:cstheme="majorBidi"/>
          <w:b/>
        </w:rPr>
        <w:t>Table 2.1. Typical Properties of Foamed Concrete</w:t>
      </w:r>
    </w:p>
    <w:tbl>
      <w:tblPr>
        <w:tblW w:w="10065" w:type="dxa"/>
        <w:tblInd w:w="-289" w:type="dxa"/>
        <w:tblBorders>
          <w:top w:val="single" w:sz="4" w:space="0" w:color="000000"/>
          <w:bottom w:val="single" w:sz="4" w:space="0" w:color="000000"/>
          <w:insideH w:val="single" w:sz="4" w:space="0" w:color="000000"/>
        </w:tblBorders>
        <w:tblCellMar>
          <w:left w:w="0" w:type="dxa"/>
          <w:right w:w="0" w:type="dxa"/>
        </w:tblCellMar>
        <w:tblLook w:val="01E0" w:firstRow="1" w:lastRow="1" w:firstColumn="1" w:lastColumn="1" w:noHBand="0" w:noVBand="0"/>
      </w:tblPr>
      <w:tblGrid>
        <w:gridCol w:w="1990"/>
        <w:gridCol w:w="2835"/>
        <w:gridCol w:w="2122"/>
        <w:gridCol w:w="3118"/>
      </w:tblGrid>
      <w:tr w:rsidR="00E4313E" w:rsidTr="000472B3">
        <w:trPr>
          <w:trHeight w:val="424"/>
        </w:trPr>
        <w:tc>
          <w:tcPr>
            <w:tcW w:w="1990" w:type="dxa"/>
            <w:hideMark/>
          </w:tcPr>
          <w:p w:rsidR="00E4313E" w:rsidRPr="00676F32" w:rsidRDefault="00E4313E" w:rsidP="00291790">
            <w:pPr>
              <w:pStyle w:val="TableParagraph"/>
              <w:spacing w:before="0" w:line="480" w:lineRule="auto"/>
              <w:ind w:left="107"/>
              <w:jc w:val="both"/>
              <w:rPr>
                <w:rFonts w:asciiTheme="majorBidi" w:hAnsiTheme="majorBidi" w:cstheme="majorBidi"/>
                <w:b/>
                <w:sz w:val="22"/>
              </w:rPr>
            </w:pPr>
            <w:r w:rsidRPr="00676F32">
              <w:rPr>
                <w:rFonts w:asciiTheme="majorBidi" w:hAnsiTheme="majorBidi" w:cstheme="majorBidi"/>
                <w:b/>
                <w:sz w:val="22"/>
              </w:rPr>
              <w:t>Dry</w:t>
            </w:r>
            <w:r w:rsidRPr="00676F32">
              <w:rPr>
                <w:rFonts w:asciiTheme="majorBidi" w:hAnsiTheme="majorBidi" w:cstheme="majorBidi"/>
                <w:b/>
                <w:spacing w:val="-7"/>
                <w:sz w:val="22"/>
              </w:rPr>
              <w:t xml:space="preserve"> </w:t>
            </w:r>
            <w:r w:rsidRPr="00676F32">
              <w:rPr>
                <w:rFonts w:asciiTheme="majorBidi" w:hAnsiTheme="majorBidi" w:cstheme="majorBidi"/>
                <w:b/>
                <w:sz w:val="22"/>
              </w:rPr>
              <w:t>density (</w:t>
            </w:r>
            <w:r w:rsidRPr="00676F32">
              <w:rPr>
                <w:rFonts w:asciiTheme="majorBidi" w:hAnsiTheme="majorBidi" w:cstheme="majorBidi"/>
                <w:b/>
                <w:spacing w:val="-4"/>
                <w:sz w:val="22"/>
              </w:rPr>
              <w:t>kg/m</w:t>
            </w:r>
            <w:r w:rsidRPr="00676F32">
              <w:rPr>
                <w:rFonts w:asciiTheme="majorBidi" w:hAnsiTheme="majorBidi" w:cstheme="majorBidi"/>
                <w:b/>
                <w:spacing w:val="-4"/>
                <w:sz w:val="22"/>
                <w:vertAlign w:val="superscript"/>
              </w:rPr>
              <w:t>3</w:t>
            </w:r>
            <w:r w:rsidRPr="00676F32">
              <w:rPr>
                <w:rFonts w:asciiTheme="majorBidi" w:hAnsiTheme="majorBidi" w:cstheme="majorBidi"/>
                <w:b/>
                <w:spacing w:val="-4"/>
                <w:sz w:val="22"/>
              </w:rPr>
              <w:t>)</w:t>
            </w:r>
            <w:r w:rsidRPr="00676F32">
              <w:rPr>
                <w:rFonts w:asciiTheme="majorBidi" w:hAnsiTheme="majorBidi" w:cstheme="majorBidi"/>
                <w:b/>
                <w:spacing w:val="-4"/>
                <w:sz w:val="22"/>
                <w:vertAlign w:val="superscript"/>
              </w:rPr>
              <w:t xml:space="preserve"> </w:t>
            </w:r>
          </w:p>
        </w:tc>
        <w:tc>
          <w:tcPr>
            <w:tcW w:w="2835" w:type="dxa"/>
            <w:hideMark/>
          </w:tcPr>
          <w:p w:rsidR="00E4313E" w:rsidRPr="00676F32" w:rsidRDefault="00E4313E" w:rsidP="00291790">
            <w:pPr>
              <w:pStyle w:val="TableParagraph"/>
              <w:spacing w:before="0" w:line="480" w:lineRule="auto"/>
              <w:ind w:left="8" w:right="2"/>
              <w:jc w:val="both"/>
              <w:rPr>
                <w:rFonts w:asciiTheme="majorBidi" w:hAnsiTheme="majorBidi" w:cstheme="majorBidi"/>
                <w:b/>
                <w:sz w:val="22"/>
              </w:rPr>
            </w:pPr>
            <w:r w:rsidRPr="00676F32">
              <w:rPr>
                <w:rFonts w:asciiTheme="majorBidi" w:hAnsiTheme="majorBidi" w:cstheme="majorBidi"/>
                <w:b/>
                <w:spacing w:val="-2"/>
                <w:sz w:val="22"/>
              </w:rPr>
              <w:t>Compressive</w:t>
            </w:r>
            <w:r w:rsidRPr="00676F32">
              <w:rPr>
                <w:rFonts w:asciiTheme="majorBidi" w:hAnsiTheme="majorBidi" w:cstheme="majorBidi"/>
                <w:b/>
                <w:spacing w:val="9"/>
                <w:sz w:val="22"/>
              </w:rPr>
              <w:t xml:space="preserve"> </w:t>
            </w:r>
            <w:r w:rsidRPr="00676F32">
              <w:rPr>
                <w:rFonts w:asciiTheme="majorBidi" w:hAnsiTheme="majorBidi" w:cstheme="majorBidi"/>
                <w:b/>
                <w:spacing w:val="-2"/>
                <w:sz w:val="22"/>
              </w:rPr>
              <w:t>strength</w:t>
            </w:r>
            <w:r w:rsidRPr="00676F32">
              <w:rPr>
                <w:rFonts w:asciiTheme="majorBidi" w:hAnsiTheme="majorBidi" w:cstheme="majorBidi"/>
                <w:b/>
                <w:spacing w:val="7"/>
                <w:sz w:val="22"/>
              </w:rPr>
              <w:t xml:space="preserve"> (</w:t>
            </w:r>
            <w:r w:rsidRPr="00676F32">
              <w:rPr>
                <w:rFonts w:asciiTheme="majorBidi" w:hAnsiTheme="majorBidi" w:cstheme="majorBidi"/>
                <w:b/>
                <w:spacing w:val="-5"/>
                <w:sz w:val="22"/>
              </w:rPr>
              <w:t>MPa)</w:t>
            </w:r>
          </w:p>
        </w:tc>
        <w:tc>
          <w:tcPr>
            <w:tcW w:w="2122" w:type="dxa"/>
            <w:hideMark/>
          </w:tcPr>
          <w:p w:rsidR="00E4313E" w:rsidRPr="00676F32" w:rsidRDefault="00E4313E" w:rsidP="00291790">
            <w:pPr>
              <w:pStyle w:val="TableParagraph"/>
              <w:spacing w:before="0" w:line="480" w:lineRule="auto"/>
              <w:ind w:right="2"/>
              <w:jc w:val="both"/>
              <w:rPr>
                <w:rFonts w:asciiTheme="majorBidi" w:hAnsiTheme="majorBidi" w:cstheme="majorBidi"/>
                <w:b/>
                <w:sz w:val="22"/>
              </w:rPr>
            </w:pPr>
            <w:r w:rsidRPr="00676F32">
              <w:rPr>
                <w:rFonts w:asciiTheme="majorBidi" w:hAnsiTheme="majorBidi" w:cstheme="majorBidi"/>
                <w:b/>
                <w:sz w:val="22"/>
              </w:rPr>
              <w:t>Elastic</w:t>
            </w:r>
            <w:r w:rsidRPr="00676F32">
              <w:rPr>
                <w:rFonts w:asciiTheme="majorBidi" w:hAnsiTheme="majorBidi" w:cstheme="majorBidi"/>
                <w:b/>
                <w:spacing w:val="-8"/>
                <w:sz w:val="22"/>
              </w:rPr>
              <w:t xml:space="preserve"> </w:t>
            </w:r>
            <w:r w:rsidRPr="00676F32">
              <w:rPr>
                <w:rFonts w:asciiTheme="majorBidi" w:hAnsiTheme="majorBidi" w:cstheme="majorBidi"/>
                <w:b/>
                <w:sz w:val="22"/>
              </w:rPr>
              <w:t>modulus</w:t>
            </w:r>
            <w:r w:rsidRPr="00676F32">
              <w:rPr>
                <w:rFonts w:asciiTheme="majorBidi" w:hAnsiTheme="majorBidi" w:cstheme="majorBidi"/>
                <w:b/>
                <w:spacing w:val="-8"/>
                <w:sz w:val="22"/>
              </w:rPr>
              <w:t xml:space="preserve"> (</w:t>
            </w:r>
            <w:proofErr w:type="spellStart"/>
            <w:r w:rsidRPr="00676F32">
              <w:rPr>
                <w:rFonts w:asciiTheme="majorBidi" w:hAnsiTheme="majorBidi" w:cstheme="majorBidi"/>
                <w:b/>
                <w:spacing w:val="-5"/>
                <w:sz w:val="22"/>
              </w:rPr>
              <w:t>GPa</w:t>
            </w:r>
            <w:proofErr w:type="spellEnd"/>
            <w:r w:rsidRPr="00676F32">
              <w:rPr>
                <w:rFonts w:asciiTheme="majorBidi" w:hAnsiTheme="majorBidi" w:cstheme="majorBidi"/>
                <w:b/>
                <w:spacing w:val="-5"/>
                <w:sz w:val="22"/>
              </w:rPr>
              <w:t>)</w:t>
            </w:r>
          </w:p>
        </w:tc>
        <w:tc>
          <w:tcPr>
            <w:tcW w:w="3118" w:type="dxa"/>
            <w:hideMark/>
          </w:tcPr>
          <w:p w:rsidR="00E4313E" w:rsidRPr="00676F32" w:rsidRDefault="00E4313E" w:rsidP="00291790">
            <w:pPr>
              <w:pStyle w:val="TableParagraph"/>
              <w:spacing w:before="0" w:line="480" w:lineRule="auto"/>
              <w:ind w:left="5" w:right="1"/>
              <w:jc w:val="both"/>
              <w:rPr>
                <w:rFonts w:asciiTheme="majorBidi" w:hAnsiTheme="majorBidi" w:cstheme="majorBidi"/>
                <w:b/>
                <w:sz w:val="22"/>
              </w:rPr>
            </w:pPr>
            <w:r w:rsidRPr="00676F32">
              <w:rPr>
                <w:rFonts w:asciiTheme="majorBidi" w:hAnsiTheme="majorBidi" w:cstheme="majorBidi"/>
                <w:b/>
                <w:sz w:val="22"/>
              </w:rPr>
              <w:t>Thermal</w:t>
            </w:r>
            <w:r w:rsidRPr="00676F32">
              <w:rPr>
                <w:rFonts w:asciiTheme="majorBidi" w:hAnsiTheme="majorBidi" w:cstheme="majorBidi"/>
                <w:b/>
                <w:spacing w:val="-10"/>
                <w:sz w:val="22"/>
              </w:rPr>
              <w:t xml:space="preserve"> </w:t>
            </w:r>
            <w:r w:rsidRPr="00676F32">
              <w:rPr>
                <w:rFonts w:asciiTheme="majorBidi" w:hAnsiTheme="majorBidi" w:cstheme="majorBidi"/>
                <w:b/>
                <w:sz w:val="22"/>
              </w:rPr>
              <w:t>conductivity (W/m.</w:t>
            </w:r>
            <w:r w:rsidRPr="00676F32">
              <w:rPr>
                <w:rFonts w:asciiTheme="majorBidi" w:hAnsiTheme="majorBidi" w:cstheme="majorBidi"/>
                <w:b/>
                <w:spacing w:val="-8"/>
                <w:sz w:val="22"/>
              </w:rPr>
              <w:t xml:space="preserve"> </w:t>
            </w:r>
            <w:r w:rsidRPr="00676F32">
              <w:rPr>
                <w:rFonts w:asciiTheme="majorBidi" w:hAnsiTheme="majorBidi" w:cstheme="majorBidi"/>
                <w:b/>
                <w:spacing w:val="-10"/>
                <w:sz w:val="22"/>
              </w:rPr>
              <w:t>K)</w:t>
            </w:r>
          </w:p>
        </w:tc>
      </w:tr>
      <w:tr w:rsidR="00E4313E" w:rsidTr="00E4313E">
        <w:trPr>
          <w:trHeight w:val="311"/>
        </w:trPr>
        <w:tc>
          <w:tcPr>
            <w:tcW w:w="1990" w:type="dxa"/>
            <w:tcBorders>
              <w:bottom w:val="nil"/>
            </w:tcBorders>
            <w:hideMark/>
          </w:tcPr>
          <w:p w:rsidR="00E4313E" w:rsidRPr="009D624D" w:rsidRDefault="00E4313E" w:rsidP="00291790">
            <w:pPr>
              <w:pStyle w:val="TableParagraph"/>
              <w:spacing w:before="0" w:line="480" w:lineRule="auto"/>
              <w:ind w:left="4"/>
              <w:jc w:val="both"/>
              <w:rPr>
                <w:rFonts w:asciiTheme="majorBidi" w:hAnsiTheme="majorBidi" w:cstheme="majorBidi"/>
                <w:szCs w:val="24"/>
              </w:rPr>
            </w:pPr>
            <w:r w:rsidRPr="009D624D">
              <w:rPr>
                <w:rFonts w:asciiTheme="majorBidi" w:hAnsiTheme="majorBidi" w:cstheme="majorBidi"/>
                <w:spacing w:val="-5"/>
                <w:szCs w:val="24"/>
              </w:rPr>
              <w:t>400</w:t>
            </w:r>
          </w:p>
        </w:tc>
        <w:tc>
          <w:tcPr>
            <w:tcW w:w="2835" w:type="dxa"/>
            <w:tcBorders>
              <w:bottom w:val="nil"/>
            </w:tcBorders>
            <w:hideMark/>
          </w:tcPr>
          <w:p w:rsidR="00E4313E" w:rsidRPr="009D624D" w:rsidRDefault="00E4313E" w:rsidP="00291790">
            <w:pPr>
              <w:pStyle w:val="TableParagraph"/>
              <w:spacing w:before="0" w:line="480" w:lineRule="auto"/>
              <w:ind w:left="8"/>
              <w:jc w:val="both"/>
              <w:rPr>
                <w:rFonts w:asciiTheme="majorBidi" w:hAnsiTheme="majorBidi" w:cstheme="majorBidi"/>
                <w:szCs w:val="24"/>
              </w:rPr>
            </w:pPr>
            <w:r w:rsidRPr="009D624D">
              <w:rPr>
                <w:rFonts w:asciiTheme="majorBidi" w:hAnsiTheme="majorBidi" w:cstheme="majorBidi"/>
                <w:spacing w:val="-10"/>
                <w:szCs w:val="24"/>
              </w:rPr>
              <w:t>1</w:t>
            </w:r>
          </w:p>
        </w:tc>
        <w:tc>
          <w:tcPr>
            <w:tcW w:w="2122" w:type="dxa"/>
            <w:tcBorders>
              <w:bottom w:val="nil"/>
            </w:tcBorders>
            <w:hideMark/>
          </w:tcPr>
          <w:p w:rsidR="00E4313E" w:rsidRPr="009D624D" w:rsidRDefault="00E4313E" w:rsidP="00291790">
            <w:pPr>
              <w:pStyle w:val="TableParagraph"/>
              <w:spacing w:before="0" w:line="480" w:lineRule="auto"/>
              <w:ind w:right="2"/>
              <w:jc w:val="both"/>
              <w:rPr>
                <w:rFonts w:asciiTheme="majorBidi" w:hAnsiTheme="majorBidi" w:cstheme="majorBidi"/>
                <w:szCs w:val="24"/>
              </w:rPr>
            </w:pPr>
            <w:r w:rsidRPr="009D624D">
              <w:rPr>
                <w:rFonts w:asciiTheme="majorBidi" w:hAnsiTheme="majorBidi" w:cstheme="majorBidi"/>
                <w:spacing w:val="-10"/>
                <w:szCs w:val="24"/>
              </w:rPr>
              <w:t>1</w:t>
            </w:r>
          </w:p>
        </w:tc>
        <w:tc>
          <w:tcPr>
            <w:tcW w:w="3118" w:type="dxa"/>
            <w:tcBorders>
              <w:bottom w:val="nil"/>
            </w:tcBorders>
            <w:hideMark/>
          </w:tcPr>
          <w:p w:rsidR="00E4313E" w:rsidRPr="009D624D" w:rsidRDefault="00E4313E" w:rsidP="00291790">
            <w:pPr>
              <w:pStyle w:val="TableParagraph"/>
              <w:spacing w:before="0" w:line="480" w:lineRule="auto"/>
              <w:ind w:left="5"/>
              <w:jc w:val="both"/>
              <w:rPr>
                <w:rFonts w:asciiTheme="majorBidi" w:hAnsiTheme="majorBidi" w:cstheme="majorBidi"/>
                <w:szCs w:val="24"/>
              </w:rPr>
            </w:pPr>
            <w:r w:rsidRPr="009D624D">
              <w:rPr>
                <w:rFonts w:asciiTheme="majorBidi" w:hAnsiTheme="majorBidi" w:cstheme="majorBidi"/>
                <w:spacing w:val="-5"/>
                <w:szCs w:val="24"/>
              </w:rPr>
              <w:t>0,1</w:t>
            </w:r>
          </w:p>
        </w:tc>
      </w:tr>
      <w:tr w:rsidR="00E4313E" w:rsidTr="00E4313E">
        <w:trPr>
          <w:trHeight w:val="329"/>
        </w:trPr>
        <w:tc>
          <w:tcPr>
            <w:tcW w:w="1990" w:type="dxa"/>
            <w:tcBorders>
              <w:top w:val="nil"/>
              <w:bottom w:val="nil"/>
            </w:tcBorders>
            <w:hideMark/>
          </w:tcPr>
          <w:p w:rsidR="00E4313E" w:rsidRPr="009D624D" w:rsidRDefault="00E4313E" w:rsidP="00291790">
            <w:pPr>
              <w:pStyle w:val="TableParagraph"/>
              <w:spacing w:before="0" w:line="480" w:lineRule="auto"/>
              <w:ind w:left="4"/>
              <w:jc w:val="both"/>
              <w:rPr>
                <w:rFonts w:asciiTheme="majorBidi" w:hAnsiTheme="majorBidi" w:cstheme="majorBidi"/>
                <w:szCs w:val="24"/>
              </w:rPr>
            </w:pPr>
            <w:r w:rsidRPr="009D624D">
              <w:rPr>
                <w:rFonts w:asciiTheme="majorBidi" w:hAnsiTheme="majorBidi" w:cstheme="majorBidi"/>
                <w:spacing w:val="-5"/>
                <w:szCs w:val="24"/>
              </w:rPr>
              <w:t>600</w:t>
            </w:r>
          </w:p>
        </w:tc>
        <w:tc>
          <w:tcPr>
            <w:tcW w:w="2835" w:type="dxa"/>
            <w:tcBorders>
              <w:top w:val="nil"/>
              <w:bottom w:val="nil"/>
            </w:tcBorders>
            <w:hideMark/>
          </w:tcPr>
          <w:p w:rsidR="00E4313E" w:rsidRPr="009D624D" w:rsidRDefault="00E4313E" w:rsidP="00291790">
            <w:pPr>
              <w:pStyle w:val="TableParagraph"/>
              <w:spacing w:before="0" w:line="480" w:lineRule="auto"/>
              <w:ind w:left="8" w:right="3"/>
              <w:jc w:val="both"/>
              <w:rPr>
                <w:rFonts w:asciiTheme="majorBidi" w:hAnsiTheme="majorBidi" w:cstheme="majorBidi"/>
                <w:szCs w:val="24"/>
              </w:rPr>
            </w:pPr>
            <w:r w:rsidRPr="009D624D">
              <w:rPr>
                <w:rFonts w:asciiTheme="majorBidi" w:hAnsiTheme="majorBidi" w:cstheme="majorBidi"/>
                <w:spacing w:val="-5"/>
                <w:szCs w:val="24"/>
              </w:rPr>
              <w:t>1,5</w:t>
            </w:r>
          </w:p>
        </w:tc>
        <w:tc>
          <w:tcPr>
            <w:tcW w:w="2122" w:type="dxa"/>
            <w:tcBorders>
              <w:top w:val="nil"/>
              <w:bottom w:val="nil"/>
            </w:tcBorders>
            <w:hideMark/>
          </w:tcPr>
          <w:p w:rsidR="00E4313E" w:rsidRPr="009D624D" w:rsidRDefault="00E4313E" w:rsidP="00291790">
            <w:pPr>
              <w:pStyle w:val="TableParagraph"/>
              <w:spacing w:before="0" w:line="480" w:lineRule="auto"/>
              <w:jc w:val="both"/>
              <w:rPr>
                <w:rFonts w:asciiTheme="majorBidi" w:hAnsiTheme="majorBidi" w:cstheme="majorBidi"/>
                <w:szCs w:val="24"/>
              </w:rPr>
            </w:pPr>
            <w:r w:rsidRPr="009D624D">
              <w:rPr>
                <w:rFonts w:asciiTheme="majorBidi" w:hAnsiTheme="majorBidi" w:cstheme="majorBidi"/>
                <w:spacing w:val="-5"/>
                <w:szCs w:val="24"/>
              </w:rPr>
              <w:t>1,5</w:t>
            </w:r>
          </w:p>
        </w:tc>
        <w:tc>
          <w:tcPr>
            <w:tcW w:w="3118" w:type="dxa"/>
            <w:tcBorders>
              <w:top w:val="nil"/>
              <w:bottom w:val="nil"/>
            </w:tcBorders>
            <w:hideMark/>
          </w:tcPr>
          <w:p w:rsidR="00E4313E" w:rsidRPr="009D624D" w:rsidRDefault="00E4313E" w:rsidP="00291790">
            <w:pPr>
              <w:pStyle w:val="TableParagraph"/>
              <w:spacing w:before="0" w:line="480" w:lineRule="auto"/>
              <w:ind w:left="5"/>
              <w:jc w:val="both"/>
              <w:rPr>
                <w:rFonts w:asciiTheme="majorBidi" w:hAnsiTheme="majorBidi" w:cstheme="majorBidi"/>
                <w:szCs w:val="24"/>
              </w:rPr>
            </w:pPr>
            <w:r w:rsidRPr="009D624D">
              <w:rPr>
                <w:rFonts w:asciiTheme="majorBidi" w:hAnsiTheme="majorBidi" w:cstheme="majorBidi"/>
                <w:spacing w:val="-4"/>
                <w:szCs w:val="24"/>
              </w:rPr>
              <w:t>0,11</w:t>
            </w:r>
          </w:p>
        </w:tc>
      </w:tr>
      <w:tr w:rsidR="00E4313E" w:rsidTr="00E4313E">
        <w:trPr>
          <w:trHeight w:val="331"/>
        </w:trPr>
        <w:tc>
          <w:tcPr>
            <w:tcW w:w="1990" w:type="dxa"/>
            <w:tcBorders>
              <w:top w:val="nil"/>
              <w:bottom w:val="nil"/>
            </w:tcBorders>
            <w:hideMark/>
          </w:tcPr>
          <w:p w:rsidR="00E4313E" w:rsidRPr="009D624D" w:rsidRDefault="00E4313E" w:rsidP="00291790">
            <w:pPr>
              <w:pStyle w:val="TableParagraph"/>
              <w:spacing w:before="0" w:line="480" w:lineRule="auto"/>
              <w:ind w:left="4"/>
              <w:jc w:val="both"/>
              <w:rPr>
                <w:rFonts w:asciiTheme="majorBidi" w:hAnsiTheme="majorBidi" w:cstheme="majorBidi"/>
                <w:szCs w:val="24"/>
              </w:rPr>
            </w:pPr>
            <w:r w:rsidRPr="009D624D">
              <w:rPr>
                <w:rFonts w:asciiTheme="majorBidi" w:hAnsiTheme="majorBidi" w:cstheme="majorBidi"/>
                <w:spacing w:val="-5"/>
                <w:szCs w:val="24"/>
              </w:rPr>
              <w:t>800</w:t>
            </w:r>
          </w:p>
        </w:tc>
        <w:tc>
          <w:tcPr>
            <w:tcW w:w="2835" w:type="dxa"/>
            <w:tcBorders>
              <w:top w:val="nil"/>
              <w:bottom w:val="nil"/>
            </w:tcBorders>
            <w:hideMark/>
          </w:tcPr>
          <w:p w:rsidR="00E4313E" w:rsidRPr="009D624D" w:rsidRDefault="00E4313E" w:rsidP="00291790">
            <w:pPr>
              <w:pStyle w:val="TableParagraph"/>
              <w:spacing w:before="0" w:line="480" w:lineRule="auto"/>
              <w:ind w:left="8"/>
              <w:jc w:val="both"/>
              <w:rPr>
                <w:rFonts w:asciiTheme="majorBidi" w:hAnsiTheme="majorBidi" w:cstheme="majorBidi"/>
                <w:szCs w:val="24"/>
              </w:rPr>
            </w:pPr>
            <w:r w:rsidRPr="009D624D">
              <w:rPr>
                <w:rFonts w:asciiTheme="majorBidi" w:hAnsiTheme="majorBidi" w:cstheme="majorBidi"/>
                <w:spacing w:val="-10"/>
                <w:szCs w:val="24"/>
              </w:rPr>
              <w:t>2</w:t>
            </w:r>
          </w:p>
        </w:tc>
        <w:tc>
          <w:tcPr>
            <w:tcW w:w="2122" w:type="dxa"/>
            <w:tcBorders>
              <w:top w:val="nil"/>
              <w:bottom w:val="nil"/>
            </w:tcBorders>
            <w:hideMark/>
          </w:tcPr>
          <w:p w:rsidR="00E4313E" w:rsidRPr="009D624D" w:rsidRDefault="00E4313E" w:rsidP="00291790">
            <w:pPr>
              <w:pStyle w:val="TableParagraph"/>
              <w:spacing w:before="0" w:line="480" w:lineRule="auto"/>
              <w:jc w:val="both"/>
              <w:rPr>
                <w:rFonts w:asciiTheme="majorBidi" w:hAnsiTheme="majorBidi" w:cstheme="majorBidi"/>
                <w:szCs w:val="24"/>
              </w:rPr>
            </w:pPr>
            <w:r w:rsidRPr="009D624D">
              <w:rPr>
                <w:rFonts w:asciiTheme="majorBidi" w:hAnsiTheme="majorBidi" w:cstheme="majorBidi"/>
                <w:spacing w:val="-5"/>
                <w:szCs w:val="24"/>
              </w:rPr>
              <w:t>2,5</w:t>
            </w:r>
          </w:p>
        </w:tc>
        <w:tc>
          <w:tcPr>
            <w:tcW w:w="3118" w:type="dxa"/>
            <w:tcBorders>
              <w:top w:val="nil"/>
              <w:bottom w:val="nil"/>
            </w:tcBorders>
            <w:hideMark/>
          </w:tcPr>
          <w:p w:rsidR="00E4313E" w:rsidRPr="009D624D" w:rsidRDefault="00E4313E" w:rsidP="00291790">
            <w:pPr>
              <w:pStyle w:val="TableParagraph"/>
              <w:spacing w:before="0" w:line="480" w:lineRule="auto"/>
              <w:ind w:left="5"/>
              <w:jc w:val="both"/>
              <w:rPr>
                <w:rFonts w:asciiTheme="majorBidi" w:hAnsiTheme="majorBidi" w:cstheme="majorBidi"/>
                <w:szCs w:val="24"/>
              </w:rPr>
            </w:pPr>
            <w:r w:rsidRPr="009D624D">
              <w:rPr>
                <w:rFonts w:asciiTheme="majorBidi" w:hAnsiTheme="majorBidi" w:cstheme="majorBidi"/>
                <w:spacing w:val="-5"/>
                <w:szCs w:val="24"/>
              </w:rPr>
              <w:t>0,2</w:t>
            </w:r>
          </w:p>
        </w:tc>
      </w:tr>
      <w:tr w:rsidR="00E4313E" w:rsidTr="00E4313E">
        <w:trPr>
          <w:trHeight w:val="329"/>
        </w:trPr>
        <w:tc>
          <w:tcPr>
            <w:tcW w:w="1990" w:type="dxa"/>
            <w:tcBorders>
              <w:top w:val="nil"/>
              <w:bottom w:val="nil"/>
            </w:tcBorders>
            <w:hideMark/>
          </w:tcPr>
          <w:p w:rsidR="00E4313E" w:rsidRPr="009D624D" w:rsidRDefault="00E4313E" w:rsidP="00291790">
            <w:pPr>
              <w:pStyle w:val="TableParagraph"/>
              <w:spacing w:before="0" w:line="480" w:lineRule="auto"/>
              <w:ind w:left="4"/>
              <w:jc w:val="both"/>
              <w:rPr>
                <w:rFonts w:asciiTheme="majorBidi" w:hAnsiTheme="majorBidi" w:cstheme="majorBidi"/>
                <w:szCs w:val="24"/>
              </w:rPr>
            </w:pPr>
            <w:r w:rsidRPr="009D624D">
              <w:rPr>
                <w:rFonts w:asciiTheme="majorBidi" w:hAnsiTheme="majorBidi" w:cstheme="majorBidi"/>
                <w:spacing w:val="-4"/>
                <w:szCs w:val="24"/>
              </w:rPr>
              <w:t>1000</w:t>
            </w:r>
          </w:p>
        </w:tc>
        <w:tc>
          <w:tcPr>
            <w:tcW w:w="2835" w:type="dxa"/>
            <w:tcBorders>
              <w:top w:val="nil"/>
              <w:bottom w:val="nil"/>
            </w:tcBorders>
            <w:hideMark/>
          </w:tcPr>
          <w:p w:rsidR="00E4313E" w:rsidRPr="009D624D" w:rsidRDefault="00E4313E" w:rsidP="00291790">
            <w:pPr>
              <w:pStyle w:val="TableParagraph"/>
              <w:spacing w:before="0" w:line="480" w:lineRule="auto"/>
              <w:ind w:left="8"/>
              <w:jc w:val="both"/>
              <w:rPr>
                <w:rFonts w:asciiTheme="majorBidi" w:hAnsiTheme="majorBidi" w:cstheme="majorBidi"/>
                <w:szCs w:val="24"/>
              </w:rPr>
            </w:pPr>
            <w:r w:rsidRPr="009D624D">
              <w:rPr>
                <w:rFonts w:asciiTheme="majorBidi" w:hAnsiTheme="majorBidi" w:cstheme="majorBidi"/>
                <w:spacing w:val="-10"/>
                <w:szCs w:val="24"/>
              </w:rPr>
              <w:t>5</w:t>
            </w:r>
          </w:p>
        </w:tc>
        <w:tc>
          <w:tcPr>
            <w:tcW w:w="2122" w:type="dxa"/>
            <w:tcBorders>
              <w:top w:val="nil"/>
              <w:bottom w:val="nil"/>
            </w:tcBorders>
            <w:hideMark/>
          </w:tcPr>
          <w:p w:rsidR="00E4313E" w:rsidRPr="009D624D" w:rsidRDefault="00E4313E" w:rsidP="00291790">
            <w:pPr>
              <w:pStyle w:val="TableParagraph"/>
              <w:spacing w:before="0" w:line="480" w:lineRule="auto"/>
              <w:ind w:right="2"/>
              <w:jc w:val="both"/>
              <w:rPr>
                <w:rFonts w:asciiTheme="majorBidi" w:hAnsiTheme="majorBidi" w:cstheme="majorBidi"/>
                <w:szCs w:val="24"/>
              </w:rPr>
            </w:pPr>
            <w:r w:rsidRPr="009D624D">
              <w:rPr>
                <w:rFonts w:asciiTheme="majorBidi" w:hAnsiTheme="majorBidi" w:cstheme="majorBidi"/>
                <w:spacing w:val="-10"/>
                <w:szCs w:val="24"/>
              </w:rPr>
              <w:t>3</w:t>
            </w:r>
          </w:p>
        </w:tc>
        <w:tc>
          <w:tcPr>
            <w:tcW w:w="3118" w:type="dxa"/>
            <w:tcBorders>
              <w:top w:val="nil"/>
              <w:bottom w:val="nil"/>
            </w:tcBorders>
            <w:hideMark/>
          </w:tcPr>
          <w:p w:rsidR="00E4313E" w:rsidRPr="009D624D" w:rsidRDefault="00E4313E" w:rsidP="00291790">
            <w:pPr>
              <w:pStyle w:val="TableParagraph"/>
              <w:spacing w:before="0" w:line="480" w:lineRule="auto"/>
              <w:ind w:left="5"/>
              <w:jc w:val="both"/>
              <w:rPr>
                <w:rFonts w:asciiTheme="majorBidi" w:hAnsiTheme="majorBidi" w:cstheme="majorBidi"/>
                <w:szCs w:val="24"/>
              </w:rPr>
            </w:pPr>
            <w:r w:rsidRPr="009D624D">
              <w:rPr>
                <w:rFonts w:asciiTheme="majorBidi" w:hAnsiTheme="majorBidi" w:cstheme="majorBidi"/>
                <w:spacing w:val="-5"/>
                <w:szCs w:val="24"/>
              </w:rPr>
              <w:t>0,3</w:t>
            </w:r>
          </w:p>
        </w:tc>
      </w:tr>
      <w:tr w:rsidR="00E4313E" w:rsidTr="00E4313E">
        <w:trPr>
          <w:trHeight w:val="329"/>
        </w:trPr>
        <w:tc>
          <w:tcPr>
            <w:tcW w:w="1990" w:type="dxa"/>
            <w:tcBorders>
              <w:top w:val="nil"/>
              <w:bottom w:val="nil"/>
            </w:tcBorders>
            <w:hideMark/>
          </w:tcPr>
          <w:p w:rsidR="00E4313E" w:rsidRPr="009D624D" w:rsidRDefault="00E4313E" w:rsidP="00291790">
            <w:pPr>
              <w:pStyle w:val="TableParagraph"/>
              <w:spacing w:before="0" w:line="480" w:lineRule="auto"/>
              <w:ind w:left="4"/>
              <w:jc w:val="both"/>
              <w:rPr>
                <w:rFonts w:asciiTheme="majorBidi" w:hAnsiTheme="majorBidi" w:cstheme="majorBidi"/>
                <w:szCs w:val="24"/>
              </w:rPr>
            </w:pPr>
            <w:r w:rsidRPr="009D624D">
              <w:rPr>
                <w:rFonts w:asciiTheme="majorBidi" w:hAnsiTheme="majorBidi" w:cstheme="majorBidi"/>
                <w:spacing w:val="-4"/>
                <w:szCs w:val="24"/>
              </w:rPr>
              <w:t>1200</w:t>
            </w:r>
          </w:p>
        </w:tc>
        <w:tc>
          <w:tcPr>
            <w:tcW w:w="2835" w:type="dxa"/>
            <w:tcBorders>
              <w:top w:val="nil"/>
              <w:bottom w:val="nil"/>
            </w:tcBorders>
            <w:hideMark/>
          </w:tcPr>
          <w:p w:rsidR="00E4313E" w:rsidRPr="009D624D" w:rsidRDefault="00E4313E" w:rsidP="00291790">
            <w:pPr>
              <w:pStyle w:val="TableParagraph"/>
              <w:spacing w:before="0" w:line="480" w:lineRule="auto"/>
              <w:ind w:left="8"/>
              <w:jc w:val="both"/>
              <w:rPr>
                <w:rFonts w:asciiTheme="majorBidi" w:hAnsiTheme="majorBidi" w:cstheme="majorBidi"/>
                <w:szCs w:val="24"/>
              </w:rPr>
            </w:pPr>
            <w:r w:rsidRPr="009D624D">
              <w:rPr>
                <w:rFonts w:asciiTheme="majorBidi" w:hAnsiTheme="majorBidi" w:cstheme="majorBidi"/>
                <w:spacing w:val="-5"/>
                <w:szCs w:val="24"/>
              </w:rPr>
              <w:t>10</w:t>
            </w:r>
          </w:p>
        </w:tc>
        <w:tc>
          <w:tcPr>
            <w:tcW w:w="2122" w:type="dxa"/>
            <w:tcBorders>
              <w:top w:val="nil"/>
              <w:bottom w:val="nil"/>
            </w:tcBorders>
            <w:hideMark/>
          </w:tcPr>
          <w:p w:rsidR="00E4313E" w:rsidRPr="009D624D" w:rsidRDefault="00E4313E" w:rsidP="00291790">
            <w:pPr>
              <w:pStyle w:val="TableParagraph"/>
              <w:spacing w:before="0" w:line="480" w:lineRule="auto"/>
              <w:ind w:right="2"/>
              <w:jc w:val="both"/>
              <w:rPr>
                <w:rFonts w:asciiTheme="majorBidi" w:hAnsiTheme="majorBidi" w:cstheme="majorBidi"/>
                <w:szCs w:val="24"/>
              </w:rPr>
            </w:pPr>
            <w:r w:rsidRPr="009D624D">
              <w:rPr>
                <w:rFonts w:asciiTheme="majorBidi" w:hAnsiTheme="majorBidi" w:cstheme="majorBidi"/>
                <w:spacing w:val="-10"/>
                <w:szCs w:val="24"/>
              </w:rPr>
              <w:t>4</w:t>
            </w:r>
          </w:p>
        </w:tc>
        <w:tc>
          <w:tcPr>
            <w:tcW w:w="3118" w:type="dxa"/>
            <w:tcBorders>
              <w:top w:val="nil"/>
              <w:bottom w:val="nil"/>
            </w:tcBorders>
            <w:hideMark/>
          </w:tcPr>
          <w:p w:rsidR="00E4313E" w:rsidRPr="009D624D" w:rsidRDefault="00E4313E" w:rsidP="00291790">
            <w:pPr>
              <w:pStyle w:val="TableParagraph"/>
              <w:spacing w:before="0" w:line="480" w:lineRule="auto"/>
              <w:ind w:left="5"/>
              <w:jc w:val="both"/>
              <w:rPr>
                <w:rFonts w:asciiTheme="majorBidi" w:hAnsiTheme="majorBidi" w:cstheme="majorBidi"/>
                <w:szCs w:val="24"/>
              </w:rPr>
            </w:pPr>
            <w:r w:rsidRPr="009D624D">
              <w:rPr>
                <w:rFonts w:asciiTheme="majorBidi" w:hAnsiTheme="majorBidi" w:cstheme="majorBidi"/>
                <w:spacing w:val="-5"/>
                <w:szCs w:val="24"/>
              </w:rPr>
              <w:t>0,4</w:t>
            </w:r>
          </w:p>
        </w:tc>
      </w:tr>
      <w:tr w:rsidR="00E4313E" w:rsidTr="00E4313E">
        <w:trPr>
          <w:trHeight w:val="329"/>
        </w:trPr>
        <w:tc>
          <w:tcPr>
            <w:tcW w:w="1990" w:type="dxa"/>
            <w:tcBorders>
              <w:top w:val="nil"/>
              <w:bottom w:val="nil"/>
            </w:tcBorders>
            <w:hideMark/>
          </w:tcPr>
          <w:p w:rsidR="00E4313E" w:rsidRPr="009D624D" w:rsidRDefault="00E4313E" w:rsidP="00291790">
            <w:pPr>
              <w:pStyle w:val="TableParagraph"/>
              <w:spacing w:before="0" w:line="480" w:lineRule="auto"/>
              <w:ind w:left="4"/>
              <w:jc w:val="both"/>
              <w:rPr>
                <w:rFonts w:asciiTheme="majorBidi" w:hAnsiTheme="majorBidi" w:cstheme="majorBidi"/>
                <w:szCs w:val="24"/>
              </w:rPr>
            </w:pPr>
            <w:r w:rsidRPr="009D624D">
              <w:rPr>
                <w:rFonts w:asciiTheme="majorBidi" w:hAnsiTheme="majorBidi" w:cstheme="majorBidi"/>
                <w:spacing w:val="-4"/>
                <w:szCs w:val="24"/>
              </w:rPr>
              <w:t>1400</w:t>
            </w:r>
          </w:p>
        </w:tc>
        <w:tc>
          <w:tcPr>
            <w:tcW w:w="2835" w:type="dxa"/>
            <w:tcBorders>
              <w:top w:val="nil"/>
              <w:bottom w:val="nil"/>
            </w:tcBorders>
            <w:hideMark/>
          </w:tcPr>
          <w:p w:rsidR="00E4313E" w:rsidRPr="009D624D" w:rsidRDefault="00E4313E" w:rsidP="00291790">
            <w:pPr>
              <w:pStyle w:val="TableParagraph"/>
              <w:spacing w:before="0" w:line="480" w:lineRule="auto"/>
              <w:ind w:left="8"/>
              <w:jc w:val="both"/>
              <w:rPr>
                <w:rFonts w:asciiTheme="majorBidi" w:hAnsiTheme="majorBidi" w:cstheme="majorBidi"/>
                <w:szCs w:val="24"/>
              </w:rPr>
            </w:pPr>
            <w:r w:rsidRPr="009D624D">
              <w:rPr>
                <w:rFonts w:asciiTheme="majorBidi" w:hAnsiTheme="majorBidi" w:cstheme="majorBidi"/>
                <w:spacing w:val="-5"/>
                <w:szCs w:val="24"/>
              </w:rPr>
              <w:t>15</w:t>
            </w:r>
          </w:p>
        </w:tc>
        <w:tc>
          <w:tcPr>
            <w:tcW w:w="2122" w:type="dxa"/>
            <w:tcBorders>
              <w:top w:val="nil"/>
              <w:bottom w:val="nil"/>
            </w:tcBorders>
            <w:hideMark/>
          </w:tcPr>
          <w:p w:rsidR="00E4313E" w:rsidRPr="009D624D" w:rsidRDefault="00E4313E" w:rsidP="00291790">
            <w:pPr>
              <w:pStyle w:val="TableParagraph"/>
              <w:spacing w:before="0" w:line="480" w:lineRule="auto"/>
              <w:ind w:right="2"/>
              <w:jc w:val="both"/>
              <w:rPr>
                <w:rFonts w:asciiTheme="majorBidi" w:hAnsiTheme="majorBidi" w:cstheme="majorBidi"/>
                <w:szCs w:val="24"/>
              </w:rPr>
            </w:pPr>
            <w:r w:rsidRPr="009D624D">
              <w:rPr>
                <w:rFonts w:asciiTheme="majorBidi" w:hAnsiTheme="majorBidi" w:cstheme="majorBidi"/>
                <w:spacing w:val="-10"/>
                <w:szCs w:val="24"/>
              </w:rPr>
              <w:t>6</w:t>
            </w:r>
          </w:p>
        </w:tc>
        <w:tc>
          <w:tcPr>
            <w:tcW w:w="3118" w:type="dxa"/>
            <w:tcBorders>
              <w:top w:val="nil"/>
              <w:bottom w:val="nil"/>
            </w:tcBorders>
            <w:hideMark/>
          </w:tcPr>
          <w:p w:rsidR="00E4313E" w:rsidRPr="009D624D" w:rsidRDefault="00E4313E" w:rsidP="00291790">
            <w:pPr>
              <w:pStyle w:val="TableParagraph"/>
              <w:spacing w:before="0" w:line="480" w:lineRule="auto"/>
              <w:ind w:left="5"/>
              <w:jc w:val="both"/>
              <w:rPr>
                <w:rFonts w:asciiTheme="majorBidi" w:hAnsiTheme="majorBidi" w:cstheme="majorBidi"/>
                <w:szCs w:val="24"/>
              </w:rPr>
            </w:pPr>
            <w:r w:rsidRPr="009D624D">
              <w:rPr>
                <w:rFonts w:asciiTheme="majorBidi" w:hAnsiTheme="majorBidi" w:cstheme="majorBidi"/>
                <w:spacing w:val="-4"/>
                <w:szCs w:val="24"/>
              </w:rPr>
              <w:t>0,55</w:t>
            </w:r>
          </w:p>
        </w:tc>
      </w:tr>
      <w:tr w:rsidR="00E4313E" w:rsidTr="00E4313E">
        <w:trPr>
          <w:trHeight w:val="331"/>
        </w:trPr>
        <w:tc>
          <w:tcPr>
            <w:tcW w:w="1990" w:type="dxa"/>
            <w:tcBorders>
              <w:top w:val="nil"/>
            </w:tcBorders>
            <w:hideMark/>
          </w:tcPr>
          <w:p w:rsidR="00E4313E" w:rsidRPr="009D624D" w:rsidRDefault="00E4313E" w:rsidP="00291790">
            <w:pPr>
              <w:pStyle w:val="TableParagraph"/>
              <w:spacing w:before="0" w:line="480" w:lineRule="auto"/>
              <w:ind w:left="4"/>
              <w:jc w:val="both"/>
              <w:rPr>
                <w:rFonts w:asciiTheme="majorBidi" w:hAnsiTheme="majorBidi" w:cstheme="majorBidi"/>
                <w:szCs w:val="24"/>
              </w:rPr>
            </w:pPr>
            <w:r w:rsidRPr="009D624D">
              <w:rPr>
                <w:rFonts w:asciiTheme="majorBidi" w:hAnsiTheme="majorBidi" w:cstheme="majorBidi"/>
                <w:spacing w:val="-4"/>
                <w:szCs w:val="24"/>
              </w:rPr>
              <w:t>1600</w:t>
            </w:r>
          </w:p>
        </w:tc>
        <w:tc>
          <w:tcPr>
            <w:tcW w:w="2835" w:type="dxa"/>
            <w:tcBorders>
              <w:top w:val="nil"/>
            </w:tcBorders>
            <w:hideMark/>
          </w:tcPr>
          <w:p w:rsidR="00E4313E" w:rsidRPr="009D624D" w:rsidRDefault="00E4313E" w:rsidP="00291790">
            <w:pPr>
              <w:pStyle w:val="TableParagraph"/>
              <w:spacing w:before="0" w:line="480" w:lineRule="auto"/>
              <w:ind w:left="8"/>
              <w:jc w:val="both"/>
              <w:rPr>
                <w:rFonts w:asciiTheme="majorBidi" w:hAnsiTheme="majorBidi" w:cstheme="majorBidi"/>
                <w:szCs w:val="24"/>
              </w:rPr>
            </w:pPr>
            <w:r w:rsidRPr="009D624D">
              <w:rPr>
                <w:rFonts w:asciiTheme="majorBidi" w:hAnsiTheme="majorBidi" w:cstheme="majorBidi"/>
                <w:spacing w:val="-5"/>
                <w:szCs w:val="24"/>
              </w:rPr>
              <w:t>25</w:t>
            </w:r>
          </w:p>
        </w:tc>
        <w:tc>
          <w:tcPr>
            <w:tcW w:w="2122" w:type="dxa"/>
            <w:tcBorders>
              <w:top w:val="nil"/>
            </w:tcBorders>
            <w:hideMark/>
          </w:tcPr>
          <w:p w:rsidR="00E4313E" w:rsidRPr="009D624D" w:rsidRDefault="00E4313E" w:rsidP="00291790">
            <w:pPr>
              <w:pStyle w:val="TableParagraph"/>
              <w:spacing w:before="0" w:line="480" w:lineRule="auto"/>
              <w:ind w:right="2"/>
              <w:jc w:val="both"/>
              <w:rPr>
                <w:rFonts w:asciiTheme="majorBidi" w:hAnsiTheme="majorBidi" w:cstheme="majorBidi"/>
                <w:szCs w:val="24"/>
              </w:rPr>
            </w:pPr>
            <w:r w:rsidRPr="009D624D">
              <w:rPr>
                <w:rFonts w:asciiTheme="majorBidi" w:hAnsiTheme="majorBidi" w:cstheme="majorBidi"/>
                <w:spacing w:val="-5"/>
                <w:szCs w:val="24"/>
              </w:rPr>
              <w:t>12</w:t>
            </w:r>
          </w:p>
        </w:tc>
        <w:tc>
          <w:tcPr>
            <w:tcW w:w="3118" w:type="dxa"/>
            <w:tcBorders>
              <w:top w:val="nil"/>
            </w:tcBorders>
            <w:hideMark/>
          </w:tcPr>
          <w:p w:rsidR="00E4313E" w:rsidRPr="009D624D" w:rsidRDefault="00E4313E" w:rsidP="00291790">
            <w:pPr>
              <w:pStyle w:val="TableParagraph"/>
              <w:spacing w:before="0" w:line="480" w:lineRule="auto"/>
              <w:ind w:left="5"/>
              <w:jc w:val="both"/>
              <w:rPr>
                <w:rFonts w:asciiTheme="majorBidi" w:hAnsiTheme="majorBidi" w:cstheme="majorBidi"/>
                <w:szCs w:val="24"/>
              </w:rPr>
            </w:pPr>
            <w:r w:rsidRPr="009D624D">
              <w:rPr>
                <w:rFonts w:asciiTheme="majorBidi" w:hAnsiTheme="majorBidi" w:cstheme="majorBidi"/>
                <w:spacing w:val="-4"/>
                <w:szCs w:val="24"/>
              </w:rPr>
              <w:t>0,65</w:t>
            </w:r>
          </w:p>
        </w:tc>
      </w:tr>
    </w:tbl>
    <w:p w:rsidR="00E4313E" w:rsidRDefault="00E4313E" w:rsidP="00291790">
      <w:pPr>
        <w:jc w:val="both"/>
        <w:rPr>
          <w:rStyle w:val="Heading4Char"/>
          <w:rFonts w:asciiTheme="majorBidi" w:hAnsiTheme="majorBidi"/>
          <w:i w:val="0"/>
          <w:szCs w:val="28"/>
        </w:rPr>
      </w:pPr>
    </w:p>
    <w:p w:rsidR="00E4313E" w:rsidRDefault="00E4313E" w:rsidP="00291790">
      <w:pPr>
        <w:pStyle w:val="Heading2"/>
        <w:jc w:val="both"/>
        <w:rPr>
          <w:rStyle w:val="Heading4Char"/>
          <w:rFonts w:asciiTheme="majorBidi" w:hAnsiTheme="majorBidi"/>
          <w:i w:val="0"/>
          <w:szCs w:val="28"/>
        </w:rPr>
      </w:pPr>
      <w:r>
        <w:rPr>
          <w:rStyle w:val="Heading4Char"/>
          <w:rFonts w:asciiTheme="majorBidi" w:hAnsiTheme="majorBidi"/>
          <w:i w:val="0"/>
          <w:szCs w:val="28"/>
        </w:rPr>
        <w:t xml:space="preserve">2.1.1.2. </w:t>
      </w:r>
      <w:r w:rsidRPr="009D624D">
        <w:rPr>
          <w:rStyle w:val="Heading4Char"/>
          <w:rFonts w:asciiTheme="majorBidi" w:hAnsiTheme="majorBidi"/>
          <w:i w:val="0"/>
          <w:szCs w:val="28"/>
        </w:rPr>
        <w:t>Thermal Insulation</w:t>
      </w:r>
      <w:r>
        <w:rPr>
          <w:rStyle w:val="Heading4Char"/>
          <w:rFonts w:asciiTheme="majorBidi" w:hAnsiTheme="majorBidi"/>
          <w:i w:val="0"/>
          <w:szCs w:val="28"/>
        </w:rPr>
        <w:t xml:space="preserve"> Properties</w:t>
      </w:r>
    </w:p>
    <w:p w:rsidR="00E4313E" w:rsidRPr="000E5EE9" w:rsidRDefault="00E4313E" w:rsidP="00291790">
      <w:pPr>
        <w:jc w:val="both"/>
      </w:pPr>
    </w:p>
    <w:p w:rsidR="00E4313E" w:rsidRDefault="00E4313E" w:rsidP="00291790">
      <w:pPr>
        <w:spacing w:after="0" w:line="480" w:lineRule="auto"/>
        <w:ind w:firstLine="720"/>
        <w:jc w:val="both"/>
        <w:rPr>
          <w:rFonts w:asciiTheme="majorBidi" w:hAnsiTheme="majorBidi" w:cstheme="majorBidi"/>
          <w:sz w:val="22"/>
        </w:rPr>
      </w:pPr>
      <w:r>
        <w:rPr>
          <w:rFonts w:asciiTheme="majorBidi" w:hAnsiTheme="majorBidi" w:cstheme="majorBidi"/>
          <w:szCs w:val="24"/>
        </w:rPr>
        <w:t xml:space="preserve">The insulating properties of foam concrete make it an ideal material for constructing green buildings. In cold climates, it acts as an insulating barrier, reducing heat loss, while in hot climates, it can keep buildings cooler by limiting heat transfer from outside. It was demonstrated that foam </w:t>
      </w:r>
      <w:r>
        <w:rPr>
          <w:rFonts w:asciiTheme="majorBidi" w:hAnsiTheme="majorBidi" w:cstheme="majorBidi"/>
          <w:szCs w:val="24"/>
        </w:rPr>
        <w:lastRenderedPageBreak/>
        <w:t>concrete made with certain additives can achieve a thermal conductivity as low as 0.12 W/</w:t>
      </w:r>
      <w:proofErr w:type="spellStart"/>
      <w:r>
        <w:rPr>
          <w:rFonts w:asciiTheme="majorBidi" w:hAnsiTheme="majorBidi" w:cstheme="majorBidi"/>
          <w:szCs w:val="24"/>
        </w:rPr>
        <w:t>m·K</w:t>
      </w:r>
      <w:proofErr w:type="spellEnd"/>
      <w:r>
        <w:rPr>
          <w:rFonts w:asciiTheme="majorBidi" w:hAnsiTheme="majorBidi" w:cstheme="majorBidi"/>
          <w:szCs w:val="24"/>
        </w:rPr>
        <w:t>, making it a highly effective insulating material (Shi et al., 2024).</w:t>
      </w:r>
    </w:p>
    <w:p w:rsidR="00E4313E" w:rsidRDefault="00E4313E" w:rsidP="00291790">
      <w:pPr>
        <w:spacing w:after="0" w:line="480" w:lineRule="auto"/>
        <w:ind w:firstLine="720"/>
        <w:jc w:val="both"/>
        <w:rPr>
          <w:rFonts w:asciiTheme="majorBidi" w:hAnsiTheme="majorBidi" w:cstheme="majorBidi"/>
          <w:szCs w:val="24"/>
        </w:rPr>
      </w:pPr>
      <w:r>
        <w:rPr>
          <w:rFonts w:asciiTheme="majorBidi" w:hAnsiTheme="majorBidi" w:cstheme="majorBidi"/>
          <w:szCs w:val="24"/>
        </w:rPr>
        <w:t>Foam concrete is well known for its relatively low thermal conductivity, usually 10–50% of that of normal dense concrete, depending on the designed material density and composition. This low thermal conductivity brings good thermal insulation, and usually energy efficiency in operation (Zhang, Z, et al., 2015). Different foamed concrete's strength varies before and after exposure to temperatures higher than usual. While there is a slight increase in compressive strength before reaching 400°C, the strength gradually decreases as the temperature rises between 400°C to 800°C. The specimen (ES0) The experimental findings revealed that the compressive strength of FC undergoes a slight increase up to a temperature of 400 °C, reaching a peak of 6.1 MPa from an initial value of 5.7 MPa. However, the compressive strength decreases continuously beyond this point, reaching a minimum of 2.9 MPa at 800 °C. The fire protection classification of the FC is by the national class A standard, which makes it suitable for insulation purposes in buildings. Moreover, alkali-activated FC exhibits superior mechanical properties at temperatures under 400 °C compared to other lightweight external wall insulation materials (Mohamed, A, M, et al., 2024).</w:t>
      </w:r>
    </w:p>
    <w:p w:rsidR="00E4313E" w:rsidRDefault="00E4313E" w:rsidP="00291790">
      <w:pPr>
        <w:autoSpaceDE w:val="0"/>
        <w:autoSpaceDN w:val="0"/>
        <w:adjustRightInd w:val="0"/>
        <w:spacing w:after="0" w:line="480" w:lineRule="auto"/>
        <w:ind w:firstLine="720"/>
        <w:jc w:val="both"/>
        <w:rPr>
          <w:rFonts w:asciiTheme="majorBidi" w:hAnsiTheme="majorBidi" w:cstheme="majorBidi"/>
          <w:sz w:val="28"/>
          <w:szCs w:val="28"/>
        </w:rPr>
      </w:pPr>
      <w:r>
        <w:rPr>
          <w:rFonts w:asciiTheme="majorBidi" w:hAnsiTheme="majorBidi" w:cstheme="majorBidi"/>
          <w:color w:val="000000"/>
          <w:szCs w:val="24"/>
        </w:rPr>
        <w:t>In another study by (</w:t>
      </w:r>
      <w:r>
        <w:rPr>
          <w:rFonts w:asciiTheme="majorBidi" w:eastAsia="Times New Roman" w:hAnsiTheme="majorBidi" w:cstheme="majorBidi"/>
          <w:szCs w:val="24"/>
        </w:rPr>
        <w:t xml:space="preserve">Jones &amp; McCarthy, 2005) </w:t>
      </w:r>
      <w:r>
        <w:rPr>
          <w:rFonts w:asciiTheme="majorBidi" w:hAnsiTheme="majorBidi" w:cstheme="majorBidi"/>
          <w:color w:val="000000"/>
          <w:szCs w:val="24"/>
        </w:rPr>
        <w:t>it was shown that the thermal conductivity ranges between 0.23 and 0.42 W/</w:t>
      </w:r>
      <w:proofErr w:type="spellStart"/>
      <w:r>
        <w:rPr>
          <w:rFonts w:asciiTheme="majorBidi" w:hAnsiTheme="majorBidi" w:cstheme="majorBidi"/>
          <w:color w:val="000000"/>
          <w:szCs w:val="24"/>
        </w:rPr>
        <w:t>mK</w:t>
      </w:r>
      <w:proofErr w:type="spellEnd"/>
      <w:r>
        <w:rPr>
          <w:rFonts w:asciiTheme="majorBidi" w:hAnsiTheme="majorBidi" w:cstheme="majorBidi"/>
          <w:color w:val="000000"/>
          <w:szCs w:val="24"/>
        </w:rPr>
        <w:t xml:space="preserve"> at dry densities of 1000 and 1200 kg/m3. Besides, the moderate filling of porous mortar with polystyrene granules can produce foamed concrete with a density range of 200-650 kg/m3 with a thermal conductivity of 0.06–0.16 W/</w:t>
      </w:r>
      <w:proofErr w:type="spellStart"/>
      <w:r>
        <w:rPr>
          <w:rFonts w:asciiTheme="majorBidi" w:hAnsiTheme="majorBidi" w:cstheme="majorBidi"/>
          <w:color w:val="000000"/>
          <w:szCs w:val="24"/>
        </w:rPr>
        <w:t>mK.</w:t>
      </w:r>
      <w:proofErr w:type="spellEnd"/>
      <w:r>
        <w:rPr>
          <w:rFonts w:asciiTheme="majorBidi" w:hAnsiTheme="majorBidi" w:cstheme="majorBidi"/>
          <w:color w:val="000000"/>
          <w:szCs w:val="24"/>
        </w:rPr>
        <w:t xml:space="preserve"> It is specified that with each 100 kg/m3 reduction of density, the thermal insulation will drop by 0.04 W/</w:t>
      </w:r>
      <w:proofErr w:type="spellStart"/>
      <w:r>
        <w:rPr>
          <w:rFonts w:asciiTheme="majorBidi" w:hAnsiTheme="majorBidi" w:cstheme="majorBidi"/>
          <w:color w:val="000000"/>
          <w:szCs w:val="24"/>
        </w:rPr>
        <w:t>mK</w:t>
      </w:r>
      <w:proofErr w:type="spellEnd"/>
      <w:r>
        <w:rPr>
          <w:rFonts w:asciiTheme="majorBidi" w:hAnsiTheme="majorBidi" w:cstheme="majorBidi"/>
          <w:color w:val="000000"/>
          <w:szCs w:val="24"/>
        </w:rPr>
        <w:t xml:space="preserve"> of the total thermal insulation of foamed concrete. In practice, foamed concrete slabs demonstrate a superior thermal insulation behavior enhanced with minimized torpidity and increased strength. Also, another study on wall brick masonry revealed that using foamed concrete with a density of </w:t>
      </w:r>
      <w:r>
        <w:rPr>
          <w:rFonts w:asciiTheme="majorBidi" w:hAnsiTheme="majorBidi" w:cstheme="majorBidi"/>
          <w:color w:val="000000"/>
          <w:szCs w:val="24"/>
        </w:rPr>
        <w:lastRenderedPageBreak/>
        <w:t>800 kg/m</w:t>
      </w:r>
      <w:r w:rsidRPr="00F56283">
        <w:rPr>
          <w:rFonts w:asciiTheme="majorBidi" w:hAnsiTheme="majorBidi" w:cstheme="majorBidi"/>
          <w:color w:val="000000"/>
          <w:szCs w:val="24"/>
          <w:vertAlign w:val="superscript"/>
        </w:rPr>
        <w:t>3</w:t>
      </w:r>
      <w:r>
        <w:rPr>
          <w:rFonts w:asciiTheme="majorBidi" w:hAnsiTheme="majorBidi" w:cstheme="majorBidi"/>
          <w:color w:val="000000"/>
          <w:szCs w:val="24"/>
        </w:rPr>
        <w:t xml:space="preserve"> in the inner leaf of the wall increased the thermal insulation by up to 23% compared to normal concrete. Some studies showed that the degree of thermal insulation in foamed concrete depends on the mixture composition such as aggregate type and mineral admixtures. Previously, it was reported that the inclusion of lightweight aggregates in foamed concrete was beneficial in decreasing the level of thermal conductivity. For example, foamed concrete with a dry density of 1000 kg/m</w:t>
      </w:r>
      <w:r w:rsidRPr="00F56283">
        <w:rPr>
          <w:rFonts w:asciiTheme="majorBidi" w:hAnsiTheme="majorBidi" w:cstheme="majorBidi"/>
          <w:color w:val="000000"/>
          <w:szCs w:val="24"/>
          <w:vertAlign w:val="superscript"/>
        </w:rPr>
        <w:t>3</w:t>
      </w:r>
      <w:r>
        <w:rPr>
          <w:rFonts w:asciiTheme="majorBidi" w:hAnsiTheme="majorBidi" w:cstheme="majorBidi"/>
          <w:color w:val="000000"/>
          <w:szCs w:val="24"/>
        </w:rPr>
        <w:t xml:space="preserve"> using lightweight aggregate obtained a thermal conductivity 1/6 of the value of typical cement–sand mortar </w:t>
      </w:r>
      <w:r>
        <w:rPr>
          <w:rFonts w:asciiTheme="majorBidi" w:hAnsiTheme="majorBidi" w:cstheme="majorBidi"/>
          <w:szCs w:val="24"/>
        </w:rPr>
        <w:t>(</w:t>
      </w:r>
      <w:proofErr w:type="spellStart"/>
      <w:r>
        <w:rPr>
          <w:rFonts w:asciiTheme="majorBidi" w:hAnsiTheme="majorBidi" w:cstheme="majorBidi"/>
          <w:szCs w:val="24"/>
        </w:rPr>
        <w:t>Amran</w:t>
      </w:r>
      <w:proofErr w:type="spellEnd"/>
      <w:r>
        <w:rPr>
          <w:rFonts w:asciiTheme="majorBidi" w:hAnsiTheme="majorBidi" w:cstheme="majorBidi"/>
          <w:szCs w:val="24"/>
        </w:rPr>
        <w:t xml:space="preserve"> et al., 2015).</w:t>
      </w:r>
    </w:p>
    <w:p w:rsidR="00E4313E" w:rsidRDefault="00E4313E" w:rsidP="00291790">
      <w:pPr>
        <w:pStyle w:val="Heading2"/>
        <w:jc w:val="both"/>
      </w:pPr>
      <w:r>
        <w:t>2.1.2</w:t>
      </w:r>
      <w:r>
        <w:tab/>
        <w:t xml:space="preserve">Applications </w:t>
      </w:r>
      <w:r w:rsidRPr="000E5EE9">
        <w:t>of</w:t>
      </w:r>
      <w:r>
        <w:t xml:space="preserve"> form concrete</w:t>
      </w:r>
    </w:p>
    <w:p w:rsidR="00E4313E" w:rsidRPr="000E5EE9" w:rsidRDefault="00E4313E" w:rsidP="00291790">
      <w:pPr>
        <w:jc w:val="both"/>
      </w:pPr>
    </w:p>
    <w:p w:rsidR="00E4313E" w:rsidRDefault="00E4313E" w:rsidP="00291790">
      <w:pPr>
        <w:spacing w:after="0" w:line="480" w:lineRule="auto"/>
        <w:ind w:firstLine="720"/>
        <w:jc w:val="both"/>
        <w:rPr>
          <w:rFonts w:asciiTheme="majorBidi" w:hAnsiTheme="majorBidi" w:cstheme="majorBidi"/>
          <w:sz w:val="22"/>
        </w:rPr>
      </w:pPr>
      <w:r>
        <w:rPr>
          <w:rFonts w:asciiTheme="majorBidi" w:hAnsiTheme="majorBidi" w:cstheme="majorBidi"/>
          <w:szCs w:val="24"/>
        </w:rPr>
        <w:t>The application of foam concrete (FC) in construction is expanding, driven by the demand for lightweight materials with good thermal insulation properties. Foam concrete is typically used for non-structural applications like partition walls, filling voids, and thermal insulation, but its range of uses has grown due to its versatility and adaptability. By incorporating sustainable additive such as palm kernel oil-based surfactants, foam concrete's environmental impact, performance, and cost-effectiveness can be significantly enhanced. This section explores the potential applications of foam concrete using PKO-based surfactants, highlighting key findings and real-world uses in the construction industry.</w:t>
      </w:r>
    </w:p>
    <w:p w:rsidR="00E4313E" w:rsidRDefault="00E4313E" w:rsidP="00291790">
      <w:pPr>
        <w:spacing w:after="0" w:line="480" w:lineRule="auto"/>
        <w:ind w:firstLine="720"/>
        <w:jc w:val="both"/>
        <w:rPr>
          <w:rFonts w:asciiTheme="majorBidi" w:hAnsiTheme="majorBidi" w:cstheme="majorBidi"/>
          <w:szCs w:val="24"/>
        </w:rPr>
      </w:pPr>
      <w:r>
        <w:rPr>
          <w:rFonts w:asciiTheme="majorBidi" w:hAnsiTheme="majorBidi" w:cstheme="majorBidi"/>
          <w:szCs w:val="24"/>
        </w:rPr>
        <w:t>Foam concrete FC has been used extensively in insulating materials for roofs, floors, and walls. It is also utilized in road sub-bases, lightweight precast elements, and void filling in geotechnical applications. According to (Zhang et al., 2024), foam concrete is particularly effective for energy-saving construction because it helps maintain temperature stability inside buildings, reducing heating and cooling costs.</w:t>
      </w:r>
    </w:p>
    <w:p w:rsidR="00E4313E" w:rsidRDefault="00E4313E" w:rsidP="00291790">
      <w:pPr>
        <w:pStyle w:val="Heading1"/>
        <w:jc w:val="both"/>
      </w:pPr>
      <w:r>
        <w:t>2.2</w:t>
      </w:r>
      <w:r>
        <w:tab/>
        <w:t>Palm Kernel Oil-Based Surfactants in Concrete Mixes</w:t>
      </w:r>
    </w:p>
    <w:p w:rsidR="00E4313E" w:rsidRPr="00F56283" w:rsidRDefault="00E4313E" w:rsidP="00291790">
      <w:pPr>
        <w:jc w:val="both"/>
      </w:pPr>
    </w:p>
    <w:p w:rsidR="00E4313E" w:rsidRDefault="00E4313E" w:rsidP="00291790">
      <w:pPr>
        <w:spacing w:after="0" w:line="480" w:lineRule="auto"/>
        <w:jc w:val="both"/>
        <w:rPr>
          <w:rFonts w:asciiTheme="majorBidi" w:hAnsiTheme="majorBidi" w:cstheme="majorBidi"/>
          <w:szCs w:val="24"/>
        </w:rPr>
      </w:pPr>
      <w:r>
        <w:rPr>
          <w:rFonts w:asciiTheme="majorBidi" w:hAnsiTheme="majorBidi" w:cstheme="majorBidi"/>
          <w:b/>
          <w:bCs/>
          <w:sz w:val="32"/>
          <w:szCs w:val="32"/>
        </w:rPr>
        <w:lastRenderedPageBreak/>
        <w:tab/>
      </w:r>
      <w:r>
        <w:rPr>
          <w:rFonts w:asciiTheme="majorBidi" w:hAnsiTheme="majorBidi" w:cstheme="majorBidi"/>
          <w:szCs w:val="24"/>
        </w:rPr>
        <w:t>Surface active substances or surfactants are amphiphilic compounds having a lyophilic, in particular hydrophilic, part (polar group) and a lyophobic, in particular hydrophobic, part (often hydrocarbon chain). The amphiphilic structure of surfactants is responsible for their tendency to concentrate at interfaces and to aggregate in solutions into various supramolecular structures, such as micelles and bilayers. According to the nature of the polar group, surfactants can be classified into nonionic and ionic, which may be of anionic, cationic, and amphoteric or zwitterion nature.</w:t>
      </w:r>
    </w:p>
    <w:p w:rsidR="00E4313E" w:rsidRDefault="00E4313E" w:rsidP="00291790">
      <w:pPr>
        <w:spacing w:after="0" w:line="480" w:lineRule="auto"/>
        <w:ind w:firstLine="720"/>
        <w:jc w:val="both"/>
        <w:rPr>
          <w:rFonts w:asciiTheme="majorBidi" w:hAnsiTheme="majorBidi" w:cstheme="majorBidi"/>
          <w:szCs w:val="24"/>
        </w:rPr>
      </w:pPr>
      <w:r>
        <w:rPr>
          <w:rFonts w:asciiTheme="majorBidi" w:hAnsiTheme="majorBidi" w:cstheme="majorBidi"/>
          <w:szCs w:val="24"/>
        </w:rPr>
        <w:t>Surfactants are important ingredients in a great number of formulations and processes. Practically any human activity deals with surfactants. So, the weight of surfactants in present-day detergent products accounts for around 15-25 % of the total production. Their world production approaches 9 million tons plus the same number of soaps, and about half of the quantity is the share of West Europe and North America.</w:t>
      </w:r>
      <w:r>
        <w:rPr>
          <w:rFonts w:asciiTheme="majorBidi" w:hAnsiTheme="majorBidi" w:cstheme="majorBidi"/>
          <w:szCs w:val="24"/>
        </w:rPr>
        <w:tab/>
        <w:t>Palm kernel oil-based surfactants are derived from the oil extracted from the seeds of the palm kernel. These natural surfactants are both effective and eco-friendly compared to conventional synthetic surfactants (</w:t>
      </w:r>
      <w:proofErr w:type="spellStart"/>
      <w:r>
        <w:rPr>
          <w:rFonts w:asciiTheme="majorBidi" w:hAnsiTheme="majorBidi" w:cstheme="majorBidi"/>
          <w:szCs w:val="24"/>
        </w:rPr>
        <w:t>Pletnev</w:t>
      </w:r>
      <w:proofErr w:type="spellEnd"/>
      <w:r>
        <w:rPr>
          <w:rFonts w:asciiTheme="majorBidi" w:hAnsiTheme="majorBidi" w:cstheme="majorBidi"/>
          <w:szCs w:val="24"/>
        </w:rPr>
        <w:t>. M.Y. 2001)</w:t>
      </w:r>
    </w:p>
    <w:p w:rsidR="00E4313E" w:rsidRDefault="00E4313E" w:rsidP="00291790">
      <w:pPr>
        <w:spacing w:after="0" w:line="480" w:lineRule="auto"/>
        <w:ind w:firstLine="720"/>
        <w:jc w:val="both"/>
        <w:rPr>
          <w:rFonts w:asciiTheme="majorBidi" w:hAnsiTheme="majorBidi" w:cstheme="majorBidi"/>
          <w:szCs w:val="24"/>
        </w:rPr>
      </w:pPr>
      <w:r>
        <w:rPr>
          <w:rFonts w:asciiTheme="majorBidi" w:hAnsiTheme="majorBidi" w:cstheme="majorBidi"/>
          <w:szCs w:val="24"/>
        </w:rPr>
        <w:t>The shift toward sustainable construction materials as led to research into plant-based surfactants, which can serve as eco-friendly alternatives to synthetic agents. Palm kernel oil, a natural and renewable resource, has demonstrated potential as a surfactant in foam concrete. Its ability to stabilize foam structures makes it suitable for lightweight concrete applications, potentially lowering costs and minimizing environmental impact (</w:t>
      </w:r>
      <w:proofErr w:type="spellStart"/>
      <w:r>
        <w:rPr>
          <w:rFonts w:asciiTheme="majorBidi" w:hAnsiTheme="majorBidi" w:cstheme="majorBidi"/>
          <w:szCs w:val="24"/>
        </w:rPr>
        <w:t>Momoh</w:t>
      </w:r>
      <w:proofErr w:type="spellEnd"/>
      <w:r>
        <w:rPr>
          <w:rFonts w:asciiTheme="majorBidi" w:hAnsiTheme="majorBidi" w:cstheme="majorBidi"/>
          <w:szCs w:val="24"/>
        </w:rPr>
        <w:t xml:space="preserve">, &amp; </w:t>
      </w:r>
      <w:proofErr w:type="spellStart"/>
      <w:r>
        <w:rPr>
          <w:rFonts w:asciiTheme="majorBidi" w:hAnsiTheme="majorBidi" w:cstheme="majorBidi"/>
          <w:szCs w:val="24"/>
        </w:rPr>
        <w:t>Osofero</w:t>
      </w:r>
      <w:proofErr w:type="spellEnd"/>
      <w:r>
        <w:rPr>
          <w:rFonts w:asciiTheme="majorBidi" w:hAnsiTheme="majorBidi" w:cstheme="majorBidi"/>
          <w:szCs w:val="24"/>
        </w:rPr>
        <w:t>, 2019). Surfactants derived from palm kernel oil are biodegradable, non-toxic, and environmentally friendly, which makes them a suitable candidate for sustainable construction materials (</w:t>
      </w:r>
      <w:proofErr w:type="spellStart"/>
      <w:r>
        <w:rPr>
          <w:rFonts w:asciiTheme="majorBidi" w:hAnsiTheme="majorBidi" w:cstheme="majorBidi"/>
          <w:szCs w:val="24"/>
        </w:rPr>
        <w:t>Ogunkunle</w:t>
      </w:r>
      <w:proofErr w:type="spellEnd"/>
      <w:r>
        <w:rPr>
          <w:rFonts w:asciiTheme="majorBidi" w:hAnsiTheme="majorBidi" w:cstheme="majorBidi"/>
          <w:szCs w:val="24"/>
        </w:rPr>
        <w:t xml:space="preserve"> et al., 2022). They also improve the foam stability and density, thus improving the strength-to-weight ratio of foam concrete.</w:t>
      </w:r>
    </w:p>
    <w:p w:rsidR="00E4313E" w:rsidRDefault="00E4313E" w:rsidP="00291790">
      <w:pPr>
        <w:spacing w:after="0" w:line="480" w:lineRule="auto"/>
        <w:jc w:val="both"/>
        <w:rPr>
          <w:rFonts w:asciiTheme="majorBidi" w:hAnsiTheme="majorBidi" w:cstheme="majorBidi"/>
          <w:szCs w:val="24"/>
        </w:rPr>
      </w:pPr>
      <w:r>
        <w:rPr>
          <w:rFonts w:asciiTheme="majorBidi" w:hAnsiTheme="majorBidi" w:cstheme="majorBidi"/>
          <w:szCs w:val="24"/>
        </w:rPr>
        <w:lastRenderedPageBreak/>
        <w:tab/>
        <w:t>Research on palm kernel oil-based surfactants has focused on optimizing the oil-to-water ratio, pH, and mixing process to produce stable, high-quality oils. Studies suggest that palm kernel oil surfactants can improve the stability of air voids in concrete, leading to enhanced compressive and flexural strengths. However, the performance of this natural surfactant under different curing conditions and at varying densities requires further study.</w:t>
      </w:r>
    </w:p>
    <w:p w:rsidR="00E4313E" w:rsidRDefault="00E4313E" w:rsidP="00291790">
      <w:pPr>
        <w:spacing w:after="0" w:line="480" w:lineRule="auto"/>
        <w:ind w:firstLine="720"/>
        <w:jc w:val="both"/>
        <w:rPr>
          <w:rFonts w:asciiTheme="majorBidi" w:hAnsiTheme="majorBidi" w:cstheme="majorBidi"/>
          <w:b/>
          <w:bCs/>
          <w:szCs w:val="24"/>
        </w:rPr>
      </w:pPr>
      <w:r>
        <w:rPr>
          <w:rFonts w:asciiTheme="majorBidi" w:hAnsiTheme="majorBidi" w:cstheme="majorBidi"/>
          <w:szCs w:val="24"/>
        </w:rPr>
        <w:t>Several studies have demonstrated that surfactants, especially those from natural oils, improve foam stability and reduce the water-cement ratio, which enhances the compressive strength and overall durability of foam concrete (</w:t>
      </w:r>
      <w:proofErr w:type="spellStart"/>
      <w:r>
        <w:rPr>
          <w:rFonts w:asciiTheme="majorBidi" w:hAnsiTheme="majorBidi" w:cstheme="majorBidi"/>
          <w:szCs w:val="24"/>
        </w:rPr>
        <w:t>Meera</w:t>
      </w:r>
      <w:proofErr w:type="spellEnd"/>
      <w:r>
        <w:rPr>
          <w:rFonts w:asciiTheme="majorBidi" w:hAnsiTheme="majorBidi" w:cstheme="majorBidi"/>
          <w:szCs w:val="24"/>
        </w:rPr>
        <w:t xml:space="preserve"> &amp; Gupta, 2020).</w:t>
      </w:r>
    </w:p>
    <w:p w:rsidR="00E4313E" w:rsidRDefault="00E4313E" w:rsidP="00291790">
      <w:pPr>
        <w:spacing w:after="0" w:line="480" w:lineRule="auto"/>
        <w:ind w:firstLine="720"/>
        <w:jc w:val="both"/>
        <w:rPr>
          <w:rFonts w:asciiTheme="majorBidi" w:hAnsiTheme="majorBidi" w:cstheme="majorBidi"/>
          <w:szCs w:val="24"/>
        </w:rPr>
      </w:pPr>
      <w:r>
        <w:rPr>
          <w:rFonts w:asciiTheme="majorBidi" w:hAnsiTheme="majorBidi" w:cstheme="majorBidi"/>
          <w:szCs w:val="24"/>
        </w:rPr>
        <w:t>The use of palm kernel oil in concrete production is part of a broader movement toward sustainable construction materials. By replacing synthetic surfactants with renewable, plant-based alternatives, the carbon footprint of foam concrete can be reduced. This aligns with global efforts to make the construction industry more sustainable.</w:t>
      </w:r>
    </w:p>
    <w:p w:rsidR="00E4313E" w:rsidRPr="00DF3FA1" w:rsidRDefault="00E4313E" w:rsidP="00291790">
      <w:pPr>
        <w:spacing w:after="0" w:line="480" w:lineRule="auto"/>
        <w:ind w:firstLine="720"/>
        <w:jc w:val="both"/>
        <w:rPr>
          <w:rFonts w:asciiTheme="majorBidi" w:hAnsiTheme="majorBidi" w:cstheme="majorBidi"/>
          <w:szCs w:val="24"/>
        </w:rPr>
      </w:pPr>
    </w:p>
    <w:p w:rsidR="00E4313E" w:rsidRDefault="00E4313E" w:rsidP="00291790">
      <w:pPr>
        <w:pStyle w:val="Heading1"/>
        <w:jc w:val="both"/>
        <w:rPr>
          <w:sz w:val="24"/>
        </w:rPr>
      </w:pPr>
      <w:r>
        <w:t>2.3.</w:t>
      </w:r>
      <w:r>
        <w:tab/>
        <w:t>Foaming Agent</w:t>
      </w:r>
    </w:p>
    <w:p w:rsidR="00E4313E" w:rsidRDefault="00E4313E" w:rsidP="00291790">
      <w:pPr>
        <w:spacing w:line="480" w:lineRule="auto"/>
        <w:jc w:val="both"/>
      </w:pPr>
      <w:r>
        <w:tab/>
        <w:t xml:space="preserve">Foam agents control the concrete density through a rate of air bubbles created in the cement paste mixture. Foam bubbles are defined as enclosed air-voids formed due to the addition of foam agent. The foam agents are commonly synthetic, protein-based, detergents, glue resins, hydrolyzed protein, resin soap, and </w:t>
      </w:r>
      <w:proofErr w:type="spellStart"/>
      <w:r>
        <w:t>saponin</w:t>
      </w:r>
      <w:proofErr w:type="spellEnd"/>
      <w:r>
        <w:t>, (C. Bing, et al., 2011). Various foaming agents are utilized in the production of foam concrete, each possessing distinct characteristics that make them suitable for specific project needs. These agents can be broadly categorized into synthetic and protein-based types, each chosen based on their unique properties and application requirements.</w:t>
      </w:r>
    </w:p>
    <w:p w:rsidR="00E4313E" w:rsidRDefault="00E4313E" w:rsidP="00291790">
      <w:pPr>
        <w:spacing w:line="480" w:lineRule="auto"/>
        <w:jc w:val="both"/>
      </w:pPr>
      <w:r>
        <w:rPr>
          <w:b/>
        </w:rPr>
        <w:t>Synthetic Foaming Agents</w:t>
      </w:r>
      <w:r>
        <w:t>:</w:t>
      </w:r>
    </w:p>
    <w:p w:rsidR="00E4313E" w:rsidRDefault="00E4313E" w:rsidP="00291790">
      <w:pPr>
        <w:spacing w:line="480" w:lineRule="auto"/>
        <w:jc w:val="both"/>
      </w:pPr>
      <w:r>
        <w:lastRenderedPageBreak/>
        <w:tab/>
        <w:t>Typically derived from chemical compounds such as sulfates and alkyl ethers, these agents are known for creating fine, uniform bubbles. They offer stability and perform effectively across a wide temperature range, making them ideal for both lightweight and structural concrete applications. However, their chemical composition often leads to lower biodegradability and a greater environmental footprint.</w:t>
      </w:r>
    </w:p>
    <w:p w:rsidR="00E4313E" w:rsidRDefault="00E4313E" w:rsidP="00291790">
      <w:pPr>
        <w:spacing w:line="480" w:lineRule="auto"/>
        <w:jc w:val="both"/>
      </w:pPr>
      <w:r>
        <w:rPr>
          <w:b/>
        </w:rPr>
        <w:t>Protein-Based Foaming Agents</w:t>
      </w:r>
      <w:r>
        <w:t>:</w:t>
      </w:r>
    </w:p>
    <w:p w:rsidR="00E4313E" w:rsidRDefault="00E4313E" w:rsidP="00291790">
      <w:pPr>
        <w:spacing w:line="480" w:lineRule="auto"/>
        <w:jc w:val="both"/>
      </w:pPr>
      <w:r>
        <w:tab/>
        <w:t xml:space="preserve">Sourced from natural materials like animal proteins, these agents generate highly stable bubbles and are frequently used in scenarios demanding high-strength foam concrete. Studies, such as those conducted by Narayanan and Ramamurthy (2000), have demonstrated that protein-based foaming agents enhance the mechanical properties of foam concrete more effectively than their synthetic counterparts. The most common foam agents are synthetic and protein based. The protein based foam agents result in a stronger and a more closed-cell bubble structure which permits the inclusion of greater amounts of air and also provides a more stable air void network while the synthetic ones yield greater expansion and thus lower density (N. </w:t>
      </w:r>
      <w:proofErr w:type="spellStart"/>
      <w:r>
        <w:t>Beningfield</w:t>
      </w:r>
      <w:proofErr w:type="spellEnd"/>
      <w:r>
        <w:t>, et al., 2005).</w:t>
      </w:r>
    </w:p>
    <w:p w:rsidR="00E4313E" w:rsidRDefault="00E4313E" w:rsidP="00291790">
      <w:pPr>
        <w:spacing w:line="480" w:lineRule="auto"/>
        <w:jc w:val="both"/>
      </w:pPr>
      <w:r>
        <w:tab/>
        <w:t>The performance of foamed concrete is heavily influenced by the type and amount of foaming agent used. Subsequently, protein-based and synthetic foaming agents are the most commonly employed in the production of foamed concrete. Protein-based foaming agents are typically derived from animal blood gum, while synthetic foaming agents often contain compounds such as sodium lauryl sulfate. Numerous studies have explored the impact of foaming agents on foamed concrete, revealing that compressive strength is closely linked to density. Specifically, a decrease in density tends to negatively affect compressive strength. (</w:t>
      </w:r>
      <w:proofErr w:type="spellStart"/>
      <w:r>
        <w:t>Falliano</w:t>
      </w:r>
      <w:proofErr w:type="spellEnd"/>
      <w:r>
        <w:t>, D. et al., 2018).</w:t>
      </w:r>
    </w:p>
    <w:p w:rsidR="00E4313E" w:rsidRDefault="00E4313E" w:rsidP="00291790">
      <w:pPr>
        <w:spacing w:line="480" w:lineRule="auto"/>
        <w:ind w:firstLine="720"/>
        <w:jc w:val="both"/>
        <w:rPr>
          <w:rFonts w:asciiTheme="majorBidi" w:hAnsiTheme="majorBidi" w:cstheme="majorBidi"/>
          <w:szCs w:val="24"/>
        </w:rPr>
      </w:pPr>
      <w:r>
        <w:lastRenderedPageBreak/>
        <w:t>Researchers have also investigated various factors that influence the strength properties of foamed concrete, including the water-cement ratio, foam volume, size of fine aggregates, curing methods, fiber addition, pore size, and the partial replacement of cement with materials like fly ash and other supplementary cementitious materials. These studies provide valuable insights into optimizing foamed concrete for different applications. (</w:t>
      </w:r>
      <w:proofErr w:type="spellStart"/>
      <w:r>
        <w:t>Amran</w:t>
      </w:r>
      <w:proofErr w:type="spellEnd"/>
      <w:r>
        <w:t>, Y.H.M. et al., 2015). A study investigating the mechanical properties of foamed concrete using different types of foaming agents has produced somewhat mixed findings. Some researchers reported superior performance in protein-based foam concrete, while others observed better results with synthetic foamed concrete. These inconsistencies highlight the need for further research to better understand the factors influencing the performance of foamed concrete with different foaming agents.</w:t>
      </w:r>
    </w:p>
    <w:p w:rsidR="00E4313E" w:rsidRPr="00DF3FA1" w:rsidRDefault="00E4313E" w:rsidP="00291790">
      <w:pPr>
        <w:ind w:firstLine="720"/>
        <w:jc w:val="both"/>
        <w:rPr>
          <w:szCs w:val="24"/>
        </w:rPr>
      </w:pPr>
    </w:p>
    <w:p w:rsidR="00842312" w:rsidRDefault="00842312" w:rsidP="00291790">
      <w:pPr>
        <w:jc w:val="both"/>
      </w:pPr>
      <w:bookmarkStart w:id="1" w:name="_GoBack"/>
      <w:bookmarkEnd w:id="1"/>
    </w:p>
    <w:sectPr w:rsidR="008423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9A44E5"/>
    <w:multiLevelType w:val="hybridMultilevel"/>
    <w:tmpl w:val="6C402C70"/>
    <w:lvl w:ilvl="0" w:tplc="0409001B">
      <w:start w:val="1"/>
      <w:numFmt w:val="lowerRoman"/>
      <w:lvlText w:val="%1."/>
      <w:lvlJc w:val="right"/>
      <w:pPr>
        <w:ind w:left="1440" w:hanging="72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B4879CC"/>
    <w:multiLevelType w:val="hybridMultilevel"/>
    <w:tmpl w:val="BE5A272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F9D"/>
    <w:rsid w:val="00291790"/>
    <w:rsid w:val="00842312"/>
    <w:rsid w:val="009E3F9D"/>
    <w:rsid w:val="00AC43F9"/>
    <w:rsid w:val="00E4313E"/>
    <w:rsid w:val="00EB4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F00B"/>
  <w15:chartTrackingRefBased/>
  <w15:docId w15:val="{A4CBC489-10F5-4B09-8A3D-913C7C0F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F9D"/>
    <w:rPr>
      <w:rFonts w:ascii="Times New Roman" w:hAnsi="Times New Roman"/>
      <w:sz w:val="24"/>
    </w:rPr>
  </w:style>
  <w:style w:type="paragraph" w:styleId="Heading1">
    <w:name w:val="heading 1"/>
    <w:basedOn w:val="Normal"/>
    <w:next w:val="Normal"/>
    <w:link w:val="Heading1Char"/>
    <w:uiPriority w:val="9"/>
    <w:qFormat/>
    <w:rsid w:val="009E3F9D"/>
    <w:pPr>
      <w:keepNext/>
      <w:keepLines/>
      <w:spacing w:before="240" w:after="0" w:line="360" w:lineRule="auto"/>
      <w:outlineLvl w:val="0"/>
    </w:pPr>
    <w:rPr>
      <w:rFonts w:eastAsiaTheme="majorEastAsia" w:cstheme="majorBidi"/>
      <w:color w:val="2E74B5" w:themeColor="accent1" w:themeShade="BF"/>
      <w:sz w:val="28"/>
      <w:szCs w:val="32"/>
    </w:rPr>
  </w:style>
  <w:style w:type="paragraph" w:styleId="Heading2">
    <w:name w:val="heading 2"/>
    <w:basedOn w:val="Normal"/>
    <w:next w:val="Normal"/>
    <w:link w:val="Heading2Char"/>
    <w:uiPriority w:val="9"/>
    <w:semiHidden/>
    <w:unhideWhenUsed/>
    <w:qFormat/>
    <w:rsid w:val="00E431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4313E"/>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E431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F9D"/>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semiHidden/>
    <w:rsid w:val="00E4313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4313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4313E"/>
    <w:rPr>
      <w:rFonts w:asciiTheme="majorHAnsi" w:eastAsiaTheme="majorEastAsia" w:hAnsiTheme="majorHAnsi" w:cstheme="majorBidi"/>
      <w:i/>
      <w:iCs/>
      <w:color w:val="2E74B5" w:themeColor="accent1" w:themeShade="BF"/>
      <w:sz w:val="24"/>
    </w:rPr>
  </w:style>
  <w:style w:type="paragraph" w:styleId="NormalWeb">
    <w:name w:val="Normal (Web)"/>
    <w:basedOn w:val="Normal"/>
    <w:uiPriority w:val="99"/>
    <w:semiHidden/>
    <w:unhideWhenUsed/>
    <w:rsid w:val="00E4313E"/>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E4313E"/>
    <w:pPr>
      <w:spacing w:after="200" w:line="276" w:lineRule="auto"/>
      <w:ind w:left="720"/>
      <w:contextualSpacing/>
    </w:pPr>
  </w:style>
  <w:style w:type="paragraph" w:customStyle="1" w:styleId="TableParagraph">
    <w:name w:val="Table Paragraph"/>
    <w:basedOn w:val="Normal"/>
    <w:uiPriority w:val="1"/>
    <w:qFormat/>
    <w:rsid w:val="00E4313E"/>
    <w:pPr>
      <w:widowControl w:val="0"/>
      <w:autoSpaceDE w:val="0"/>
      <w:autoSpaceDN w:val="0"/>
      <w:spacing w:before="30" w:after="0" w:line="240" w:lineRule="auto"/>
      <w:ind w:left="2"/>
      <w:jc w:val="center"/>
    </w:pPr>
    <w:rPr>
      <w:rFonts w:ascii="Calibri" w:eastAsia="Calibri" w:hAnsi="Calibri" w:cs="Calibri"/>
    </w:rPr>
  </w:style>
  <w:style w:type="character" w:styleId="Strong">
    <w:name w:val="Strong"/>
    <w:basedOn w:val="DefaultParagraphFont"/>
    <w:uiPriority w:val="22"/>
    <w:qFormat/>
    <w:rsid w:val="00E431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3190</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2</cp:revision>
  <dcterms:created xsi:type="dcterms:W3CDTF">2025-05-02T08:26:00Z</dcterms:created>
  <dcterms:modified xsi:type="dcterms:W3CDTF">2025-05-02T08:41:00Z</dcterms:modified>
</cp:coreProperties>
</file>