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B60" w:rsidRPr="00770D36" w:rsidRDefault="00903B60" w:rsidP="00903B60">
      <w:pPr>
        <w:pStyle w:val="ListParagraph"/>
        <w:spacing w:after="0" w:line="360" w:lineRule="auto"/>
        <w:ind w:left="0"/>
        <w:jc w:val="center"/>
        <w:rPr>
          <w:rFonts w:ascii="Times New Roman" w:eastAsia="Times New Roman" w:hAnsi="Times New Roman" w:cs="Times New Roman"/>
          <w:b/>
          <w:sz w:val="24"/>
          <w:szCs w:val="24"/>
        </w:rPr>
      </w:pPr>
      <w:r w:rsidRPr="00770D36">
        <w:rPr>
          <w:rFonts w:ascii="Times New Roman" w:eastAsia="Times New Roman" w:hAnsi="Times New Roman" w:cs="Times New Roman"/>
          <w:b/>
          <w:sz w:val="24"/>
          <w:szCs w:val="24"/>
        </w:rPr>
        <w:t>CHAPTER THRE</w:t>
      </w:r>
    </w:p>
    <w:p w:rsidR="00903B60" w:rsidRPr="00770D36" w:rsidRDefault="00903B60" w:rsidP="00903B60">
      <w:pPr>
        <w:pStyle w:val="ListParagraph"/>
        <w:spacing w:after="0" w:line="360" w:lineRule="auto"/>
        <w:ind w:left="0"/>
        <w:jc w:val="center"/>
        <w:rPr>
          <w:rFonts w:ascii="Times New Roman" w:eastAsia="Times New Roman" w:hAnsi="Times New Roman" w:cs="Times New Roman"/>
          <w:b/>
          <w:sz w:val="24"/>
          <w:szCs w:val="24"/>
        </w:rPr>
      </w:pPr>
      <w:r w:rsidRPr="00770D36">
        <w:rPr>
          <w:rFonts w:ascii="Times New Roman" w:eastAsia="Times New Roman" w:hAnsi="Times New Roman" w:cs="Times New Roman"/>
          <w:b/>
          <w:sz w:val="24"/>
          <w:szCs w:val="24"/>
        </w:rPr>
        <w:t>MATERIALS AND METHOD</w:t>
      </w:r>
    </w:p>
    <w:p w:rsidR="00903B60" w:rsidRPr="00770D36" w:rsidRDefault="00903B60" w:rsidP="00903B60">
      <w:pPr>
        <w:pStyle w:val="ListParagraph"/>
        <w:spacing w:after="0" w:line="360" w:lineRule="auto"/>
        <w:ind w:left="0"/>
        <w:jc w:val="both"/>
        <w:rPr>
          <w:rFonts w:ascii="Times New Roman" w:hAnsi="Times New Roman" w:cs="Times New Roman"/>
          <w:b/>
          <w:sz w:val="24"/>
          <w:szCs w:val="24"/>
        </w:rPr>
      </w:pPr>
      <w:r w:rsidRPr="00770D36">
        <w:rPr>
          <w:rFonts w:ascii="Times New Roman" w:hAnsi="Times New Roman" w:cs="Times New Roman"/>
          <w:b/>
          <w:sz w:val="24"/>
          <w:szCs w:val="24"/>
        </w:rPr>
        <w:t>3.1</w:t>
      </w:r>
      <w:r w:rsidRPr="00770D36">
        <w:rPr>
          <w:rFonts w:ascii="Times New Roman" w:hAnsi="Times New Roman" w:cs="Times New Roman"/>
          <w:b/>
          <w:sz w:val="24"/>
          <w:szCs w:val="24"/>
        </w:rPr>
        <w:tab/>
        <w:t>Preamble</w:t>
      </w:r>
    </w:p>
    <w:p w:rsidR="00903B60" w:rsidRPr="00770D36" w:rsidRDefault="00903B60" w:rsidP="00903B60">
      <w:pPr>
        <w:pStyle w:val="ListParagraph"/>
        <w:spacing w:after="0" w:line="360" w:lineRule="auto"/>
        <w:ind w:left="0" w:firstLine="720"/>
        <w:jc w:val="both"/>
        <w:rPr>
          <w:rFonts w:ascii="Times New Roman" w:hAnsi="Times New Roman" w:cs="Times New Roman"/>
          <w:b/>
          <w:sz w:val="24"/>
          <w:szCs w:val="24"/>
        </w:rPr>
      </w:pPr>
      <w:r w:rsidRPr="00770D36">
        <w:rPr>
          <w:rFonts w:ascii="Times New Roman" w:hAnsi="Times New Roman" w:cs="Times New Roman"/>
          <w:sz w:val="24"/>
          <w:szCs w:val="24"/>
        </w:rPr>
        <w:t>This chapter explains the material used in the process of gathering the information on the research work and the methods employed in carrying out the findings.</w:t>
      </w:r>
    </w:p>
    <w:p w:rsidR="00903B60" w:rsidRPr="00770D36" w:rsidRDefault="00903B60" w:rsidP="00903B60">
      <w:pPr>
        <w:pStyle w:val="ListParagraph"/>
        <w:spacing w:after="0" w:line="360" w:lineRule="auto"/>
        <w:ind w:left="0"/>
        <w:jc w:val="both"/>
        <w:rPr>
          <w:rFonts w:ascii="Times New Roman" w:hAnsi="Times New Roman" w:cs="Times New Roman"/>
          <w:b/>
          <w:sz w:val="24"/>
          <w:szCs w:val="24"/>
        </w:rPr>
      </w:pPr>
      <w:r w:rsidRPr="00770D36">
        <w:rPr>
          <w:rFonts w:ascii="Times New Roman" w:hAnsi="Times New Roman" w:cs="Times New Roman"/>
          <w:b/>
          <w:sz w:val="24"/>
          <w:szCs w:val="24"/>
        </w:rPr>
        <w:t>3.2</w:t>
      </w:r>
      <w:r w:rsidRPr="00770D36">
        <w:rPr>
          <w:rFonts w:ascii="Times New Roman" w:hAnsi="Times New Roman" w:cs="Times New Roman"/>
          <w:b/>
          <w:sz w:val="24"/>
          <w:szCs w:val="24"/>
        </w:rPr>
        <w:tab/>
        <w:t>Materials</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The materials used in this research include; Water, cement, fine aggregate (sand), foaming agent, palm kernel oil solvent and water. The materials were gotten from different source to make a success of this research study.</w:t>
      </w:r>
    </w:p>
    <w:p w:rsidR="00903B60" w:rsidRPr="00770D36" w:rsidRDefault="00903B60" w:rsidP="00903B60">
      <w:pPr>
        <w:pStyle w:val="ListParagraph"/>
        <w:spacing w:after="0" w:line="360" w:lineRule="auto"/>
        <w:ind w:left="0"/>
        <w:jc w:val="both"/>
        <w:rPr>
          <w:rFonts w:ascii="Times New Roman" w:hAnsi="Times New Roman" w:cs="Times New Roman"/>
          <w:b/>
          <w:sz w:val="24"/>
          <w:szCs w:val="24"/>
        </w:rPr>
      </w:pPr>
      <w:r w:rsidRPr="00770D36">
        <w:rPr>
          <w:rFonts w:ascii="Times New Roman" w:hAnsi="Times New Roman" w:cs="Times New Roman"/>
          <w:b/>
          <w:sz w:val="24"/>
          <w:szCs w:val="24"/>
        </w:rPr>
        <w:t>3.2.1 Water</w:t>
      </w:r>
    </w:p>
    <w:p w:rsidR="00903B60" w:rsidRPr="00770D36" w:rsidRDefault="00903B60" w:rsidP="00903B60">
      <w:pPr>
        <w:pStyle w:val="ListParagraph"/>
        <w:spacing w:after="0" w:line="360" w:lineRule="auto"/>
        <w:ind w:left="0" w:firstLine="720"/>
        <w:jc w:val="both"/>
        <w:rPr>
          <w:rFonts w:ascii="Times New Roman" w:hAnsi="Times New Roman" w:cs="Times New Roman"/>
          <w:b/>
          <w:sz w:val="24"/>
          <w:szCs w:val="24"/>
        </w:rPr>
      </w:pPr>
      <w:r w:rsidRPr="00770D36">
        <w:rPr>
          <w:rFonts w:ascii="Times New Roman" w:hAnsi="Times New Roman" w:cs="Times New Roman"/>
          <w:sz w:val="24"/>
          <w:szCs w:val="24"/>
        </w:rPr>
        <w:t>Portable water is used for mixing and curing. A water cement ratio (w/c) of 0.45 is adopted for concrete mix. Water is an important ingredient of concrete as it actively participates in the chemical reaction with cement. In practice, very often great control on properties of cement and aggregate is exercise, but the control on the quality of water is often neglected. Since quality of water affects the strength, it is necessary to go into the purity and quality of water.</w:t>
      </w:r>
    </w:p>
    <w:p w:rsidR="00903B60" w:rsidRPr="00770D36" w:rsidRDefault="00903B60" w:rsidP="00903B60">
      <w:pPr>
        <w:pStyle w:val="ListParagraph"/>
        <w:spacing w:after="0" w:line="360" w:lineRule="auto"/>
        <w:ind w:left="0"/>
        <w:jc w:val="both"/>
        <w:rPr>
          <w:rFonts w:ascii="Times New Roman" w:hAnsi="Times New Roman" w:cs="Times New Roman"/>
          <w:b/>
          <w:sz w:val="24"/>
          <w:szCs w:val="24"/>
        </w:rPr>
      </w:pPr>
      <w:r w:rsidRPr="00770D36">
        <w:rPr>
          <w:rFonts w:ascii="Times New Roman" w:hAnsi="Times New Roman" w:cs="Times New Roman"/>
          <w:b/>
          <w:sz w:val="24"/>
          <w:szCs w:val="24"/>
        </w:rPr>
        <w:t>3.2.2 Cement</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eastAsia="Times New Roman" w:hAnsi="Times New Roman" w:cs="Times New Roman"/>
          <w:sz w:val="24"/>
          <w:szCs w:val="24"/>
        </w:rPr>
        <w:t>The cement to be used in this study is OPC (Grade 42.5) and it will be bought from a reliable retailer shop around Maraba, along Old Jebba way, Ilorin, Kwara State.</w:t>
      </w:r>
      <w:r w:rsidRPr="00770D36">
        <w:rPr>
          <w:rFonts w:ascii="Times New Roman" w:hAnsi="Times New Roman" w:cs="Times New Roman"/>
          <w:sz w:val="24"/>
          <w:szCs w:val="24"/>
        </w:rPr>
        <w:t xml:space="preserve"> It will be properly tested to make sure it conforms to BS EN 197 – 1(2011) requirement.</w:t>
      </w:r>
    </w:p>
    <w:p w:rsidR="00903B60" w:rsidRPr="00770D36" w:rsidRDefault="00903B60" w:rsidP="00903B60">
      <w:pPr>
        <w:pStyle w:val="ListParagraph"/>
        <w:spacing w:after="0" w:line="360" w:lineRule="auto"/>
        <w:ind w:left="0"/>
        <w:jc w:val="center"/>
        <w:rPr>
          <w:rFonts w:ascii="Times New Roman" w:hAnsi="Times New Roman" w:cs="Times New Roman"/>
          <w:sz w:val="24"/>
          <w:szCs w:val="24"/>
        </w:rPr>
      </w:pPr>
      <w:r w:rsidRPr="00770D36">
        <w:rPr>
          <w:rFonts w:ascii="Times New Roman" w:hAnsi="Times New Roman" w:cs="Times New Roman"/>
          <w:noProof/>
          <w:sz w:val="24"/>
          <w:szCs w:val="24"/>
        </w:rPr>
        <w:drawing>
          <wp:inline distT="0" distB="0" distL="0" distR="0" wp14:anchorId="362B1686" wp14:editId="2E0BD73E">
            <wp:extent cx="2686050" cy="26884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40612_113059_764.jpg"/>
                    <pic:cNvPicPr/>
                  </pic:nvPicPr>
                  <pic:blipFill rotWithShape="1">
                    <a:blip r:embed="rId5" cstate="print">
                      <a:extLst>
                        <a:ext uri="{28A0092B-C50C-407E-A947-70E740481C1C}">
                          <a14:useLocalDpi xmlns:a14="http://schemas.microsoft.com/office/drawing/2010/main" val="0"/>
                        </a:ext>
                      </a:extLst>
                    </a:blip>
                    <a:srcRect b="24934"/>
                    <a:stretch/>
                  </pic:blipFill>
                  <pic:spPr bwMode="auto">
                    <a:xfrm>
                      <a:off x="0" y="0"/>
                      <a:ext cx="2689297" cy="2691669"/>
                    </a:xfrm>
                    <a:prstGeom prst="rect">
                      <a:avLst/>
                    </a:prstGeom>
                    <a:ln>
                      <a:noFill/>
                    </a:ln>
                    <a:extLst>
                      <a:ext uri="{53640926-AAD7-44D8-BBD7-CCE9431645EC}">
                        <a14:shadowObscured xmlns:a14="http://schemas.microsoft.com/office/drawing/2010/main"/>
                      </a:ext>
                    </a:extLst>
                  </pic:spPr>
                </pic:pic>
              </a:graphicData>
            </a:graphic>
          </wp:inline>
        </w:drawing>
      </w:r>
    </w:p>
    <w:p w:rsidR="00903B60" w:rsidRPr="00770D36" w:rsidRDefault="00903B60" w:rsidP="00903B60">
      <w:pPr>
        <w:pStyle w:val="ListParagraph"/>
        <w:spacing w:after="0" w:line="360" w:lineRule="auto"/>
        <w:ind w:left="0"/>
        <w:jc w:val="center"/>
        <w:rPr>
          <w:rFonts w:ascii="Times New Roman" w:hAnsi="Times New Roman" w:cs="Times New Roman"/>
          <w:b/>
          <w:sz w:val="24"/>
          <w:szCs w:val="24"/>
        </w:rPr>
      </w:pPr>
      <w:r w:rsidRPr="00770D36">
        <w:rPr>
          <w:rFonts w:ascii="Times New Roman" w:hAnsi="Times New Roman" w:cs="Times New Roman"/>
          <w:b/>
          <w:sz w:val="24"/>
          <w:szCs w:val="24"/>
        </w:rPr>
        <w:t>Fig 3.0 Ordinary Por</w:t>
      </w:r>
      <w:r>
        <w:rPr>
          <w:rFonts w:ascii="Times New Roman" w:hAnsi="Times New Roman" w:cs="Times New Roman"/>
          <w:b/>
          <w:sz w:val="24"/>
          <w:szCs w:val="24"/>
        </w:rPr>
        <w:t>tland Cement</w:t>
      </w:r>
    </w:p>
    <w:p w:rsidR="00903B60" w:rsidRDefault="00903B60" w:rsidP="00903B60">
      <w:pPr>
        <w:pStyle w:val="ListParagraph"/>
        <w:spacing w:after="0" w:line="360" w:lineRule="auto"/>
        <w:ind w:left="0"/>
        <w:jc w:val="both"/>
        <w:rPr>
          <w:rFonts w:ascii="Times New Roman" w:hAnsi="Times New Roman" w:cs="Times New Roman"/>
          <w:b/>
          <w:sz w:val="24"/>
          <w:szCs w:val="24"/>
        </w:rPr>
      </w:pPr>
    </w:p>
    <w:p w:rsidR="00903B60" w:rsidRDefault="00903B60" w:rsidP="00903B60">
      <w:pPr>
        <w:pStyle w:val="ListParagraph"/>
        <w:spacing w:after="0" w:line="360" w:lineRule="auto"/>
        <w:ind w:left="0"/>
        <w:jc w:val="both"/>
        <w:rPr>
          <w:rFonts w:ascii="Times New Roman" w:hAnsi="Times New Roman" w:cs="Times New Roman"/>
          <w:b/>
          <w:sz w:val="24"/>
          <w:szCs w:val="24"/>
        </w:rPr>
      </w:pPr>
    </w:p>
    <w:p w:rsidR="00903B60" w:rsidRPr="00770D36" w:rsidRDefault="00903B60" w:rsidP="00903B60">
      <w:pPr>
        <w:pStyle w:val="ListParagraph"/>
        <w:spacing w:after="0" w:line="360" w:lineRule="auto"/>
        <w:ind w:left="0"/>
        <w:jc w:val="both"/>
        <w:rPr>
          <w:rFonts w:ascii="Times New Roman" w:hAnsi="Times New Roman" w:cs="Times New Roman"/>
          <w:b/>
          <w:sz w:val="24"/>
          <w:szCs w:val="24"/>
        </w:rPr>
      </w:pPr>
      <w:r w:rsidRPr="00770D36">
        <w:rPr>
          <w:rFonts w:ascii="Times New Roman" w:hAnsi="Times New Roman" w:cs="Times New Roman"/>
          <w:b/>
          <w:sz w:val="24"/>
          <w:szCs w:val="24"/>
        </w:rPr>
        <w:lastRenderedPageBreak/>
        <w:t>3.2.3 Fine Aggregate/ Sand</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The fine aggregate to be used in this research will be obtained from a quarry shop around Maraba, along Old Jebba way, Ilorin, Kwara State and will be transported to the Civil Engineering Department Laboratory; Kwara State Polytechnic at the Institute of Technology (IOT). The fine aggregate used will be sieved through a BS 4.75mm sieve to remove some of the contained coarse aggregates.</w:t>
      </w:r>
    </w:p>
    <w:p w:rsidR="00903B60" w:rsidRPr="00770D36" w:rsidRDefault="00903B60" w:rsidP="00903B60">
      <w:pPr>
        <w:pStyle w:val="ListParagraph"/>
        <w:spacing w:after="0" w:line="360" w:lineRule="auto"/>
        <w:ind w:left="0"/>
        <w:jc w:val="center"/>
        <w:rPr>
          <w:rFonts w:ascii="Times New Roman" w:hAnsi="Times New Roman" w:cs="Times New Roman"/>
          <w:sz w:val="24"/>
          <w:szCs w:val="24"/>
        </w:rPr>
      </w:pPr>
      <w:r w:rsidRPr="00770D36">
        <w:rPr>
          <w:rFonts w:ascii="Times New Roman" w:hAnsi="Times New Roman" w:cs="Times New Roman"/>
          <w:noProof/>
          <w:sz w:val="24"/>
          <w:szCs w:val="24"/>
        </w:rPr>
        <w:drawing>
          <wp:inline distT="0" distB="0" distL="0" distR="0" wp14:anchorId="174D20B8" wp14:editId="04ECF95B">
            <wp:extent cx="3267075" cy="26130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0612_113034_48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7916" cy="2613698"/>
                    </a:xfrm>
                    <a:prstGeom prst="rect">
                      <a:avLst/>
                    </a:prstGeom>
                  </pic:spPr>
                </pic:pic>
              </a:graphicData>
            </a:graphic>
          </wp:inline>
        </w:drawing>
      </w:r>
    </w:p>
    <w:p w:rsidR="00903B60" w:rsidRPr="00770D36" w:rsidRDefault="00903B60" w:rsidP="00903B60">
      <w:pPr>
        <w:pStyle w:val="ListParagraph"/>
        <w:spacing w:after="0" w:line="360" w:lineRule="auto"/>
        <w:ind w:left="0"/>
        <w:jc w:val="center"/>
        <w:rPr>
          <w:rFonts w:ascii="Times New Roman" w:hAnsi="Times New Roman" w:cs="Times New Roman"/>
          <w:b/>
          <w:sz w:val="24"/>
          <w:szCs w:val="24"/>
        </w:rPr>
      </w:pPr>
      <w:r w:rsidRPr="00770D36">
        <w:rPr>
          <w:rFonts w:ascii="Times New Roman" w:hAnsi="Times New Roman" w:cs="Times New Roman"/>
          <w:b/>
          <w:sz w:val="24"/>
          <w:szCs w:val="24"/>
        </w:rPr>
        <w:t>Fig 3.1 Fine Aggregate/Sand</w:t>
      </w:r>
    </w:p>
    <w:p w:rsidR="00903B60" w:rsidRPr="00770D36" w:rsidRDefault="00903B60" w:rsidP="00903B60">
      <w:pPr>
        <w:pStyle w:val="ListParagraph"/>
        <w:spacing w:after="100" w:afterAutospacing="1" w:line="360" w:lineRule="auto"/>
        <w:ind w:left="0"/>
        <w:jc w:val="both"/>
        <w:rPr>
          <w:rFonts w:ascii="Times New Roman" w:hAnsi="Times New Roman" w:cs="Times New Roman"/>
          <w:b/>
          <w:sz w:val="24"/>
          <w:szCs w:val="24"/>
        </w:rPr>
      </w:pPr>
      <w:r w:rsidRPr="00770D36">
        <w:rPr>
          <w:rFonts w:ascii="Times New Roman" w:hAnsi="Times New Roman" w:cs="Times New Roman"/>
          <w:b/>
          <w:sz w:val="24"/>
          <w:szCs w:val="24"/>
        </w:rPr>
        <w:t>3.2.4 Foaming Agent</w:t>
      </w:r>
    </w:p>
    <w:p w:rsidR="00903B60" w:rsidRPr="00770D36" w:rsidRDefault="00903B60" w:rsidP="00903B60">
      <w:pPr>
        <w:pStyle w:val="ListParagraph"/>
        <w:spacing w:after="100" w:afterAutospacing="1"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The creation of a stable foam is central to achieving the desired lightweight, porous material. It is a surfactant that stabilizes the air bubbles in the mix. Commonly used synthetic agents help produce a foam with a uniform bubble size. The selected foaming agent will be compatible with both the cement hydration reaction and the polymer-based reactions introduced by the palm kernel oil solvent. Its concentration will be adjusted based on preliminary tests to create a stable and consistent foam.</w:t>
      </w:r>
    </w:p>
    <w:p w:rsidR="00903B60" w:rsidRPr="00770D36" w:rsidRDefault="00903B60" w:rsidP="00903B60">
      <w:pPr>
        <w:pStyle w:val="ListParagraph"/>
        <w:spacing w:after="100" w:afterAutospacing="1" w:line="360" w:lineRule="auto"/>
        <w:ind w:left="0"/>
        <w:jc w:val="both"/>
        <w:rPr>
          <w:rFonts w:ascii="Times New Roman" w:hAnsi="Times New Roman" w:cs="Times New Roman"/>
          <w:b/>
          <w:sz w:val="24"/>
          <w:szCs w:val="24"/>
        </w:rPr>
      </w:pPr>
      <w:r w:rsidRPr="00770D36">
        <w:rPr>
          <w:rFonts w:ascii="Times New Roman" w:hAnsi="Times New Roman" w:cs="Times New Roman"/>
          <w:b/>
          <w:sz w:val="24"/>
          <w:szCs w:val="24"/>
        </w:rPr>
        <w:t>3.2.5 Palm Kernel Oil Solvent</w:t>
      </w:r>
    </w:p>
    <w:p w:rsidR="00903B60" w:rsidRPr="00770D36" w:rsidRDefault="00903B60" w:rsidP="00903B60">
      <w:pPr>
        <w:pStyle w:val="ListParagraph"/>
        <w:spacing w:after="100" w:afterAutospacing="1" w:line="360" w:lineRule="auto"/>
        <w:ind w:left="0" w:firstLine="720"/>
        <w:jc w:val="both"/>
        <w:rPr>
          <w:rFonts w:ascii="Times New Roman" w:eastAsia="Times New Roman" w:hAnsi="Times New Roman" w:cs="Times New Roman"/>
          <w:sz w:val="24"/>
          <w:szCs w:val="24"/>
        </w:rPr>
      </w:pPr>
      <w:r w:rsidRPr="00770D36">
        <w:rPr>
          <w:rFonts w:ascii="Times New Roman" w:eastAsia="Times New Roman" w:hAnsi="Times New Roman" w:cs="Times New Roman"/>
          <w:sz w:val="24"/>
          <w:szCs w:val="24"/>
        </w:rPr>
        <w:t>The unique aspect of this study is the incorporation of palm kernel oil solvent. Understanding its role and properties is crucial:</w:t>
      </w:r>
    </w:p>
    <w:p w:rsidR="00903B60" w:rsidRPr="00770D36" w:rsidRDefault="00903B60" w:rsidP="00903B60">
      <w:pPr>
        <w:pStyle w:val="ListParagraph"/>
        <w:numPr>
          <w:ilvl w:val="0"/>
          <w:numId w:val="11"/>
        </w:numPr>
        <w:spacing w:after="100" w:afterAutospacing="1" w:line="360" w:lineRule="auto"/>
        <w:jc w:val="both"/>
        <w:rPr>
          <w:rFonts w:ascii="Times New Roman" w:hAnsi="Times New Roman" w:cs="Times New Roman"/>
          <w:b/>
          <w:sz w:val="24"/>
          <w:szCs w:val="24"/>
        </w:rPr>
      </w:pPr>
      <w:r w:rsidRPr="00770D36">
        <w:rPr>
          <w:rFonts w:ascii="Times New Roman" w:eastAsia="Times New Roman" w:hAnsi="Times New Roman" w:cs="Times New Roman"/>
          <w:b/>
          <w:bCs/>
          <w:sz w:val="24"/>
          <w:szCs w:val="24"/>
        </w:rPr>
        <w:t>Chemical Nature:</w:t>
      </w:r>
      <w:r w:rsidRPr="00770D36">
        <w:rPr>
          <w:rFonts w:ascii="Times New Roman" w:eastAsia="Times New Roman" w:hAnsi="Times New Roman" w:cs="Times New Roman"/>
          <w:sz w:val="24"/>
          <w:szCs w:val="24"/>
        </w:rPr>
        <w:t xml:space="preserve"> Palm kernel oil solvent is derived from palm kernel oil, and its properties are influenced by its fatty acid composition. This solvent can reduce surface tension and impart hydrophobicity to local regions of the concrete matrix.</w:t>
      </w:r>
    </w:p>
    <w:p w:rsidR="00903B60" w:rsidRPr="00770D36" w:rsidRDefault="00903B60" w:rsidP="00903B60">
      <w:pPr>
        <w:pStyle w:val="ListParagraph"/>
        <w:numPr>
          <w:ilvl w:val="0"/>
          <w:numId w:val="11"/>
        </w:numPr>
        <w:spacing w:after="100" w:afterAutospacing="1" w:line="360" w:lineRule="auto"/>
        <w:jc w:val="both"/>
        <w:rPr>
          <w:rFonts w:ascii="Times New Roman" w:hAnsi="Times New Roman" w:cs="Times New Roman"/>
          <w:b/>
          <w:sz w:val="24"/>
          <w:szCs w:val="24"/>
        </w:rPr>
      </w:pPr>
      <w:r w:rsidRPr="00770D36">
        <w:rPr>
          <w:rFonts w:ascii="Times New Roman" w:eastAsia="Times New Roman" w:hAnsi="Times New Roman" w:cs="Times New Roman"/>
          <w:b/>
          <w:bCs/>
          <w:sz w:val="24"/>
          <w:szCs w:val="24"/>
        </w:rPr>
        <w:t>Purpose:</w:t>
      </w:r>
      <w:r w:rsidRPr="00770D36">
        <w:rPr>
          <w:rFonts w:ascii="Times New Roman" w:eastAsia="Times New Roman" w:hAnsi="Times New Roman" w:cs="Times New Roman"/>
          <w:sz w:val="24"/>
          <w:szCs w:val="24"/>
        </w:rPr>
        <w:t xml:space="preserve"> By modifying the interaction between the cement particles and the foaming agent, it can help adjust the pore structure, altering both the density and water absorption characteristics of the hybrid system.</w:t>
      </w:r>
      <w:r w:rsidRPr="00770D36">
        <w:rPr>
          <w:rFonts w:ascii="Times New Roman" w:hAnsi="Times New Roman" w:cs="Times New Roman"/>
          <w:b/>
          <w:sz w:val="24"/>
          <w:szCs w:val="24"/>
        </w:rPr>
        <w:t xml:space="preserve"> </w:t>
      </w:r>
    </w:p>
    <w:p w:rsidR="00903B60" w:rsidRDefault="00903B60" w:rsidP="00903B60">
      <w:pPr>
        <w:spacing w:after="0" w:line="360" w:lineRule="auto"/>
        <w:contextualSpacing/>
        <w:jc w:val="both"/>
        <w:rPr>
          <w:rFonts w:ascii="Times New Roman" w:hAnsi="Times New Roman" w:cs="Times New Roman"/>
          <w:b/>
          <w:sz w:val="24"/>
          <w:szCs w:val="24"/>
        </w:rPr>
      </w:pPr>
    </w:p>
    <w:p w:rsidR="00903B60" w:rsidRPr="00770D36" w:rsidRDefault="00903B60" w:rsidP="00903B60">
      <w:pPr>
        <w:spacing w:after="0"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3.3 Test on materials</w:t>
      </w:r>
    </w:p>
    <w:p w:rsidR="00903B60" w:rsidRPr="00770D36" w:rsidRDefault="00903B60" w:rsidP="00903B60">
      <w:pPr>
        <w:spacing w:after="0"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3.3.1 Test on Cement</w:t>
      </w:r>
    </w:p>
    <w:p w:rsidR="00903B60" w:rsidRPr="00770D36" w:rsidRDefault="00903B60" w:rsidP="00903B60">
      <w:pPr>
        <w:spacing w:after="0" w:line="360" w:lineRule="auto"/>
        <w:ind w:firstLine="426"/>
        <w:contextualSpacing/>
        <w:jc w:val="both"/>
        <w:rPr>
          <w:rFonts w:ascii="Times New Roman" w:hAnsi="Times New Roman" w:cs="Times New Roman"/>
          <w:b/>
          <w:sz w:val="24"/>
          <w:szCs w:val="24"/>
        </w:rPr>
      </w:pPr>
      <w:r w:rsidRPr="00770D36">
        <w:rPr>
          <w:rFonts w:ascii="Times New Roman" w:hAnsi="Times New Roman" w:cs="Times New Roman"/>
          <w:sz w:val="24"/>
          <w:szCs w:val="24"/>
        </w:rPr>
        <w:t>Testing cement is a crucial step in ensuring the quality, consistency, and performance of concrete mixes and construction materials. Various tests are conducted on cement to evaluate its physical, chemical, and mechanical properties according to international standards and specifications.</w:t>
      </w:r>
    </w:p>
    <w:p w:rsidR="00903B60" w:rsidRPr="00770D36" w:rsidRDefault="00903B60" w:rsidP="00903B60">
      <w:pPr>
        <w:pStyle w:val="ListParagraph"/>
        <w:numPr>
          <w:ilvl w:val="0"/>
          <w:numId w:val="12"/>
        </w:numPr>
        <w:spacing w:after="0" w:line="360" w:lineRule="auto"/>
        <w:jc w:val="both"/>
        <w:rPr>
          <w:rFonts w:ascii="Times New Roman" w:hAnsi="Times New Roman" w:cs="Times New Roman"/>
          <w:b/>
          <w:sz w:val="24"/>
          <w:szCs w:val="24"/>
        </w:rPr>
      </w:pPr>
      <w:r w:rsidRPr="00770D36">
        <w:rPr>
          <w:rFonts w:ascii="Times New Roman" w:hAnsi="Times New Roman" w:cs="Times New Roman"/>
          <w:b/>
          <w:sz w:val="24"/>
          <w:szCs w:val="24"/>
        </w:rPr>
        <w:t>Fineness Test</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The fineness test is a crucial assessment conducted on cement to determine the particle size distribution and fineness of its particles. The fineness of cement plays a significant role in its reactivity, hydration rate, setting time, and overall performance in concrete mixes. This test is essential to ensure that the cement meets the required standards and specifications for various construction applications.</w:t>
      </w:r>
    </w:p>
    <w:p w:rsidR="00903B60" w:rsidRPr="00770D36" w:rsidRDefault="00903B60" w:rsidP="00903B60">
      <w:pPr>
        <w:pStyle w:val="ListParagraph"/>
        <w:spacing w:after="0" w:line="360" w:lineRule="auto"/>
        <w:ind w:left="0"/>
        <w:jc w:val="both"/>
        <w:rPr>
          <w:rFonts w:ascii="Times New Roman" w:hAnsi="Times New Roman" w:cs="Times New Roman"/>
          <w:sz w:val="24"/>
          <w:szCs w:val="24"/>
        </w:rPr>
      </w:pPr>
      <w:r w:rsidRPr="00770D36">
        <w:rPr>
          <w:rFonts w:ascii="Times New Roman" w:eastAsia="Times New Roman" w:hAnsi="Times New Roman" w:cs="Times New Roman"/>
          <w:b/>
          <w:bCs/>
          <w:sz w:val="24"/>
          <w:szCs w:val="24"/>
        </w:rPr>
        <w:t>Apparatus:</w:t>
      </w:r>
    </w:p>
    <w:p w:rsidR="00903B60" w:rsidRPr="00770D36" w:rsidRDefault="00903B60" w:rsidP="00903B60">
      <w:pPr>
        <w:pStyle w:val="ListParagraph"/>
        <w:numPr>
          <w:ilvl w:val="0"/>
          <w:numId w:val="7"/>
        </w:numPr>
        <w:spacing w:after="0" w:line="360" w:lineRule="auto"/>
        <w:ind w:left="567"/>
        <w:jc w:val="both"/>
        <w:rPr>
          <w:rFonts w:ascii="Times New Roman" w:hAnsi="Times New Roman" w:cs="Times New Roman"/>
          <w:sz w:val="24"/>
          <w:szCs w:val="24"/>
        </w:rPr>
      </w:pPr>
      <w:r w:rsidRPr="00770D36">
        <w:rPr>
          <w:rFonts w:ascii="Times New Roman" w:eastAsia="Times New Roman" w:hAnsi="Times New Roman" w:cs="Times New Roman"/>
          <w:b/>
          <w:bCs/>
          <w:sz w:val="24"/>
          <w:szCs w:val="24"/>
        </w:rPr>
        <w:t>Sieve with 90-micron Opening:</w:t>
      </w:r>
      <w:r w:rsidRPr="00770D36">
        <w:rPr>
          <w:rFonts w:ascii="Times New Roman" w:eastAsia="Times New Roman" w:hAnsi="Times New Roman" w:cs="Times New Roman"/>
          <w:sz w:val="24"/>
          <w:szCs w:val="24"/>
        </w:rPr>
        <w:t xml:space="preserve"> A sieve with a specific opening size of 90 microns (μm) is used to sieve the cement sample and separate the finer particles.</w:t>
      </w:r>
    </w:p>
    <w:p w:rsidR="00903B60" w:rsidRPr="00770D36" w:rsidRDefault="00903B60" w:rsidP="00903B60">
      <w:pPr>
        <w:pStyle w:val="ListParagraph"/>
        <w:numPr>
          <w:ilvl w:val="0"/>
          <w:numId w:val="7"/>
        </w:numPr>
        <w:spacing w:after="0" w:line="360" w:lineRule="auto"/>
        <w:ind w:left="567"/>
        <w:jc w:val="both"/>
        <w:rPr>
          <w:rFonts w:ascii="Times New Roman" w:eastAsia="Times New Roman" w:hAnsi="Times New Roman" w:cs="Times New Roman"/>
          <w:sz w:val="24"/>
          <w:szCs w:val="24"/>
        </w:rPr>
      </w:pPr>
      <w:r w:rsidRPr="00770D36">
        <w:rPr>
          <w:rFonts w:ascii="Times New Roman" w:eastAsia="Times New Roman" w:hAnsi="Times New Roman" w:cs="Times New Roman"/>
          <w:b/>
          <w:bCs/>
          <w:sz w:val="24"/>
          <w:szCs w:val="24"/>
        </w:rPr>
        <w:t>Air-Permeability Apparatus (Blaine Apparatus):</w:t>
      </w:r>
      <w:r w:rsidRPr="00770D36">
        <w:rPr>
          <w:rFonts w:ascii="Times New Roman" w:eastAsia="Times New Roman" w:hAnsi="Times New Roman" w:cs="Times New Roman"/>
          <w:sz w:val="24"/>
          <w:szCs w:val="24"/>
        </w:rPr>
        <w:t xml:space="preserve"> This apparatus measures the specific surface area of the cement by determining the rate of airflow through a compacted bed of cement particles.</w:t>
      </w:r>
    </w:p>
    <w:p w:rsidR="00903B60" w:rsidRPr="00770D36" w:rsidRDefault="00903B60" w:rsidP="00903B60">
      <w:pPr>
        <w:pStyle w:val="ListParagraph"/>
        <w:spacing w:after="0" w:line="360" w:lineRule="auto"/>
        <w:ind w:left="0"/>
        <w:jc w:val="both"/>
        <w:rPr>
          <w:rFonts w:ascii="Times New Roman" w:eastAsia="Times New Roman" w:hAnsi="Times New Roman" w:cs="Times New Roman"/>
          <w:b/>
          <w:bCs/>
          <w:sz w:val="24"/>
          <w:szCs w:val="24"/>
        </w:rPr>
      </w:pPr>
      <w:r w:rsidRPr="00770D36">
        <w:rPr>
          <w:rFonts w:ascii="Times New Roman" w:eastAsia="Times New Roman" w:hAnsi="Times New Roman" w:cs="Times New Roman"/>
          <w:b/>
          <w:bCs/>
          <w:sz w:val="24"/>
          <w:szCs w:val="24"/>
        </w:rPr>
        <w:t>Procedure:</w:t>
      </w:r>
    </w:p>
    <w:p w:rsidR="00903B60" w:rsidRPr="00770D36" w:rsidRDefault="00903B60" w:rsidP="00903B60">
      <w:pPr>
        <w:pStyle w:val="ListParagraph"/>
        <w:numPr>
          <w:ilvl w:val="0"/>
          <w:numId w:val="8"/>
        </w:numPr>
        <w:spacing w:after="0" w:line="360" w:lineRule="auto"/>
        <w:ind w:left="567"/>
        <w:jc w:val="both"/>
        <w:rPr>
          <w:rFonts w:ascii="Times New Roman" w:eastAsia="Times New Roman" w:hAnsi="Times New Roman" w:cs="Times New Roman"/>
          <w:sz w:val="24"/>
          <w:szCs w:val="24"/>
        </w:rPr>
      </w:pPr>
      <w:r w:rsidRPr="00770D36">
        <w:rPr>
          <w:rFonts w:ascii="Times New Roman" w:eastAsia="Times New Roman" w:hAnsi="Times New Roman" w:cs="Times New Roman"/>
          <w:b/>
          <w:bCs/>
          <w:sz w:val="24"/>
          <w:szCs w:val="24"/>
        </w:rPr>
        <w:t>Sample Preparation:</w:t>
      </w:r>
      <w:r w:rsidRPr="00770D36">
        <w:rPr>
          <w:rFonts w:ascii="Times New Roman" w:eastAsia="Times New Roman" w:hAnsi="Times New Roman" w:cs="Times New Roman"/>
          <w:sz w:val="24"/>
          <w:szCs w:val="24"/>
        </w:rPr>
        <w:t xml:space="preserve"> A representative sample of cement is obtained from the bulk material and thoroughly mixed to ensure uniformity.</w:t>
      </w:r>
    </w:p>
    <w:p w:rsidR="00903B60" w:rsidRPr="00770D36" w:rsidRDefault="00903B60" w:rsidP="00903B60">
      <w:pPr>
        <w:pStyle w:val="ListParagraph"/>
        <w:numPr>
          <w:ilvl w:val="0"/>
          <w:numId w:val="8"/>
        </w:numPr>
        <w:spacing w:after="0" w:line="360" w:lineRule="auto"/>
        <w:ind w:left="567"/>
        <w:jc w:val="both"/>
        <w:rPr>
          <w:rFonts w:ascii="Times New Roman" w:eastAsia="Times New Roman" w:hAnsi="Times New Roman" w:cs="Times New Roman"/>
          <w:sz w:val="24"/>
          <w:szCs w:val="24"/>
        </w:rPr>
      </w:pPr>
      <w:r w:rsidRPr="00770D36">
        <w:rPr>
          <w:rFonts w:ascii="Times New Roman" w:eastAsia="Times New Roman" w:hAnsi="Times New Roman" w:cs="Times New Roman"/>
          <w:b/>
          <w:bCs/>
          <w:sz w:val="24"/>
          <w:szCs w:val="24"/>
        </w:rPr>
        <w:t>Sieve Analysis:</w:t>
      </w:r>
      <w:r w:rsidRPr="00770D36">
        <w:rPr>
          <w:rFonts w:ascii="Times New Roman" w:eastAsia="Times New Roman" w:hAnsi="Times New Roman" w:cs="Times New Roman"/>
          <w:sz w:val="24"/>
          <w:szCs w:val="24"/>
        </w:rPr>
        <w:t xml:space="preserve"> A portion of the cement sample is sieved through the 90-micron sieve to separate the particles finer than 90 microns from the coarser particles.</w:t>
      </w:r>
    </w:p>
    <w:p w:rsidR="00903B60" w:rsidRPr="00770D36" w:rsidRDefault="00903B60" w:rsidP="00903B60">
      <w:pPr>
        <w:pStyle w:val="ListParagraph"/>
        <w:numPr>
          <w:ilvl w:val="0"/>
          <w:numId w:val="8"/>
        </w:numPr>
        <w:spacing w:after="0" w:line="360" w:lineRule="auto"/>
        <w:ind w:left="567"/>
        <w:jc w:val="both"/>
        <w:rPr>
          <w:rFonts w:ascii="Times New Roman" w:eastAsia="Times New Roman" w:hAnsi="Times New Roman" w:cs="Times New Roman"/>
          <w:sz w:val="24"/>
          <w:szCs w:val="24"/>
        </w:rPr>
      </w:pPr>
      <w:r w:rsidRPr="00770D36">
        <w:rPr>
          <w:rFonts w:ascii="Times New Roman" w:eastAsia="Times New Roman" w:hAnsi="Times New Roman" w:cs="Times New Roman"/>
          <w:b/>
          <w:bCs/>
          <w:sz w:val="24"/>
          <w:szCs w:val="24"/>
        </w:rPr>
        <w:t>Air-Permeability Test (Blaine Test):</w:t>
      </w:r>
    </w:p>
    <w:p w:rsidR="00903B60" w:rsidRPr="00770D36" w:rsidRDefault="00903B60" w:rsidP="00903B60">
      <w:pPr>
        <w:pStyle w:val="ListParagraph"/>
        <w:numPr>
          <w:ilvl w:val="0"/>
          <w:numId w:val="9"/>
        </w:numPr>
        <w:spacing w:after="0" w:line="360" w:lineRule="auto"/>
        <w:ind w:left="1134"/>
        <w:jc w:val="both"/>
        <w:rPr>
          <w:rFonts w:ascii="Times New Roman" w:eastAsia="Times New Roman" w:hAnsi="Times New Roman" w:cs="Times New Roman"/>
          <w:sz w:val="24"/>
          <w:szCs w:val="24"/>
        </w:rPr>
      </w:pPr>
      <w:r w:rsidRPr="00770D36">
        <w:rPr>
          <w:rFonts w:ascii="Times New Roman" w:eastAsia="Times New Roman" w:hAnsi="Times New Roman" w:cs="Times New Roman"/>
          <w:sz w:val="24"/>
          <w:szCs w:val="24"/>
        </w:rPr>
        <w:t>The Blaine apparatus consists of a permeability cell, a manometer (or pressure gauge), and a vacuum pump.</w:t>
      </w:r>
    </w:p>
    <w:p w:rsidR="00903B60" w:rsidRPr="00770D36" w:rsidRDefault="00903B60" w:rsidP="00903B60">
      <w:pPr>
        <w:pStyle w:val="ListParagraph"/>
        <w:numPr>
          <w:ilvl w:val="0"/>
          <w:numId w:val="9"/>
        </w:numPr>
        <w:spacing w:after="0" w:line="360" w:lineRule="auto"/>
        <w:ind w:left="1134"/>
        <w:jc w:val="both"/>
        <w:rPr>
          <w:rFonts w:ascii="Times New Roman" w:eastAsia="Times New Roman" w:hAnsi="Times New Roman" w:cs="Times New Roman"/>
          <w:sz w:val="24"/>
          <w:szCs w:val="24"/>
        </w:rPr>
      </w:pPr>
      <w:r w:rsidRPr="00770D36">
        <w:rPr>
          <w:rFonts w:ascii="Times New Roman" w:eastAsia="Times New Roman" w:hAnsi="Times New Roman" w:cs="Times New Roman"/>
          <w:sz w:val="24"/>
          <w:szCs w:val="24"/>
        </w:rPr>
        <w:t>The cement sample is compacted in the permeability cell to form a uniform bed of particles.</w:t>
      </w:r>
    </w:p>
    <w:p w:rsidR="00903B60" w:rsidRPr="00770D36" w:rsidRDefault="00903B60" w:rsidP="00903B60">
      <w:pPr>
        <w:pStyle w:val="ListParagraph"/>
        <w:numPr>
          <w:ilvl w:val="0"/>
          <w:numId w:val="9"/>
        </w:numPr>
        <w:spacing w:after="0" w:line="360" w:lineRule="auto"/>
        <w:ind w:left="1134"/>
        <w:jc w:val="both"/>
        <w:rPr>
          <w:rFonts w:ascii="Times New Roman" w:eastAsia="Times New Roman" w:hAnsi="Times New Roman" w:cs="Times New Roman"/>
          <w:sz w:val="24"/>
          <w:szCs w:val="24"/>
        </w:rPr>
      </w:pPr>
      <w:r w:rsidRPr="00770D36">
        <w:rPr>
          <w:rFonts w:ascii="Times New Roman" w:eastAsia="Times New Roman" w:hAnsi="Times New Roman" w:cs="Times New Roman"/>
          <w:sz w:val="24"/>
          <w:szCs w:val="24"/>
        </w:rPr>
        <w:t>A vacuum is applied to draw air through the bed of cement particles, and the rate of airflow is measured using the manometer.</w:t>
      </w:r>
    </w:p>
    <w:p w:rsidR="00903B60" w:rsidRPr="00770D36" w:rsidRDefault="00903B60" w:rsidP="00903B60">
      <w:pPr>
        <w:pStyle w:val="ListParagraph"/>
        <w:numPr>
          <w:ilvl w:val="0"/>
          <w:numId w:val="9"/>
        </w:numPr>
        <w:spacing w:after="0" w:line="360" w:lineRule="auto"/>
        <w:ind w:left="1134"/>
        <w:jc w:val="both"/>
        <w:rPr>
          <w:rFonts w:ascii="Times New Roman" w:eastAsia="Times New Roman" w:hAnsi="Times New Roman" w:cs="Times New Roman"/>
          <w:sz w:val="24"/>
          <w:szCs w:val="24"/>
        </w:rPr>
      </w:pPr>
      <w:r w:rsidRPr="00770D36">
        <w:rPr>
          <w:rFonts w:ascii="Times New Roman" w:eastAsia="Times New Roman" w:hAnsi="Times New Roman" w:cs="Times New Roman"/>
          <w:sz w:val="24"/>
          <w:szCs w:val="24"/>
        </w:rPr>
        <w:t>The specific surface area is calculated based on the rate of airflow and the permeability characteristics of the compacted cement bed.</w:t>
      </w:r>
    </w:p>
    <w:p w:rsidR="00903B60" w:rsidRPr="00770D36" w:rsidRDefault="00903B60" w:rsidP="00903B60">
      <w:pPr>
        <w:pStyle w:val="ListParagraph"/>
        <w:numPr>
          <w:ilvl w:val="0"/>
          <w:numId w:val="9"/>
        </w:numPr>
        <w:spacing w:after="0" w:line="360" w:lineRule="auto"/>
        <w:ind w:left="1134"/>
        <w:jc w:val="both"/>
        <w:rPr>
          <w:rFonts w:ascii="Times New Roman" w:eastAsia="Times New Roman" w:hAnsi="Times New Roman" w:cs="Times New Roman"/>
          <w:sz w:val="24"/>
          <w:szCs w:val="24"/>
        </w:rPr>
      </w:pPr>
      <w:r w:rsidRPr="00770D36">
        <w:rPr>
          <w:rFonts w:ascii="Times New Roman" w:eastAsia="Times New Roman" w:hAnsi="Times New Roman" w:cs="Times New Roman"/>
          <w:sz w:val="24"/>
          <w:szCs w:val="24"/>
        </w:rPr>
        <w:t>The specific surface area is typically expressed in terms of square centimeters per gram (cm²/g) of cement.</w:t>
      </w:r>
    </w:p>
    <w:p w:rsidR="00903B60" w:rsidRPr="00770D36" w:rsidRDefault="00903B60" w:rsidP="00903B60">
      <w:pPr>
        <w:pStyle w:val="ListParagraph"/>
        <w:spacing w:after="0" w:line="360" w:lineRule="auto"/>
        <w:ind w:left="0"/>
        <w:jc w:val="both"/>
        <w:rPr>
          <w:rFonts w:ascii="Times New Roman" w:hAnsi="Times New Roman" w:cs="Times New Roman"/>
          <w:b/>
          <w:sz w:val="24"/>
          <w:szCs w:val="24"/>
        </w:rPr>
      </w:pPr>
    </w:p>
    <w:p w:rsidR="00903B60" w:rsidRPr="00770D36" w:rsidRDefault="00903B60" w:rsidP="00903B60">
      <w:pPr>
        <w:pStyle w:val="ListParagraph"/>
        <w:spacing w:after="0" w:line="360" w:lineRule="auto"/>
        <w:ind w:left="0"/>
        <w:jc w:val="both"/>
        <w:rPr>
          <w:rFonts w:ascii="Times New Roman" w:hAnsi="Times New Roman" w:cs="Times New Roman"/>
          <w:b/>
          <w:sz w:val="24"/>
          <w:szCs w:val="24"/>
        </w:rPr>
      </w:pPr>
    </w:p>
    <w:p w:rsidR="00903B60" w:rsidRPr="00770D36" w:rsidRDefault="00903B60" w:rsidP="00903B60">
      <w:pPr>
        <w:pStyle w:val="ListParagraph"/>
        <w:spacing w:after="0" w:line="360" w:lineRule="auto"/>
        <w:ind w:left="0"/>
        <w:jc w:val="both"/>
        <w:rPr>
          <w:rFonts w:ascii="Times New Roman" w:hAnsi="Times New Roman" w:cs="Times New Roman"/>
          <w:b/>
          <w:sz w:val="24"/>
          <w:szCs w:val="24"/>
        </w:rPr>
      </w:pPr>
    </w:p>
    <w:p w:rsidR="00903B60" w:rsidRPr="00770D36" w:rsidRDefault="00903B60" w:rsidP="00903B60">
      <w:pPr>
        <w:pStyle w:val="ListParagraph"/>
        <w:spacing w:after="0" w:line="360" w:lineRule="auto"/>
        <w:ind w:left="0"/>
        <w:jc w:val="both"/>
        <w:rPr>
          <w:rFonts w:ascii="Times New Roman" w:hAnsi="Times New Roman" w:cs="Times New Roman"/>
          <w:b/>
          <w:sz w:val="24"/>
          <w:szCs w:val="24"/>
        </w:rPr>
      </w:pPr>
      <w:r w:rsidRPr="00770D36">
        <w:rPr>
          <w:rFonts w:ascii="Times New Roman" w:hAnsi="Times New Roman" w:cs="Times New Roman"/>
          <w:b/>
          <w:sz w:val="24"/>
          <w:szCs w:val="24"/>
        </w:rPr>
        <w:t>3.3.2</w:t>
      </w:r>
      <w:r w:rsidRPr="00770D36">
        <w:rPr>
          <w:rFonts w:ascii="Times New Roman" w:hAnsi="Times New Roman" w:cs="Times New Roman"/>
          <w:b/>
          <w:sz w:val="24"/>
          <w:szCs w:val="24"/>
        </w:rPr>
        <w:tab/>
        <w:t>Test on Sand</w:t>
      </w:r>
    </w:p>
    <w:p w:rsidR="00903B60" w:rsidRPr="00770D36" w:rsidRDefault="00903B60" w:rsidP="00903B60">
      <w:pPr>
        <w:pStyle w:val="ListParagraph"/>
        <w:numPr>
          <w:ilvl w:val="0"/>
          <w:numId w:val="3"/>
        </w:numPr>
        <w:spacing w:after="0" w:line="360" w:lineRule="auto"/>
        <w:jc w:val="both"/>
        <w:rPr>
          <w:rFonts w:ascii="Times New Roman" w:hAnsi="Times New Roman" w:cs="Times New Roman"/>
          <w:b/>
          <w:sz w:val="24"/>
          <w:szCs w:val="24"/>
        </w:rPr>
      </w:pPr>
      <w:r w:rsidRPr="00770D36">
        <w:rPr>
          <w:rFonts w:ascii="Times New Roman" w:hAnsi="Times New Roman" w:cs="Times New Roman"/>
          <w:b/>
          <w:sz w:val="24"/>
          <w:szCs w:val="24"/>
        </w:rPr>
        <w:t>Particle Size Distribution Test</w:t>
      </w:r>
    </w:p>
    <w:p w:rsidR="00903B60" w:rsidRPr="00770D36" w:rsidRDefault="00903B60" w:rsidP="00903B60">
      <w:pPr>
        <w:spacing w:after="0" w:line="360" w:lineRule="auto"/>
        <w:ind w:firstLine="720"/>
        <w:contextualSpacing/>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A Particle Size Distribution Analysis (PSD) determines and reports information about the size and range of particles representative of a given material. This analysis can be performed using a variety of techniques; the most suitable will be determined based on the sample properties and question at hand.</w:t>
      </w:r>
    </w:p>
    <w:p w:rsidR="00903B60" w:rsidRPr="00770D36" w:rsidRDefault="00903B60" w:rsidP="00903B60">
      <w:pPr>
        <w:spacing w:after="0" w:line="360" w:lineRule="auto"/>
        <w:ind w:firstLine="720"/>
        <w:contextualSpacing/>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The objective of the test is to determine the percentage of individual particle sizes present in a soil sample. Particles size distribution test was done by dry sieving and this method covers the quantitative determination of the particle size distribution in soil down to the fine sand size and the test was done in accordance to BS 1377 of 1961 “Methods of tests for soil for civil engineering purpose”</w:t>
      </w:r>
    </w:p>
    <w:p w:rsidR="00903B60" w:rsidRPr="00770D36" w:rsidRDefault="00903B60" w:rsidP="00903B60">
      <w:pPr>
        <w:spacing w:after="0" w:line="360" w:lineRule="auto"/>
        <w:contextualSpacing/>
        <w:jc w:val="both"/>
        <w:rPr>
          <w:rFonts w:ascii="Times New Roman" w:hAnsi="Times New Roman" w:cs="Times New Roman"/>
          <w:color w:val="000000"/>
          <w:spacing w:val="10"/>
          <w:sz w:val="24"/>
          <w:szCs w:val="24"/>
        </w:rPr>
      </w:pPr>
      <w:r w:rsidRPr="00770D36">
        <w:rPr>
          <w:rFonts w:ascii="Times New Roman" w:hAnsi="Times New Roman" w:cs="Times New Roman"/>
          <w:b/>
          <w:color w:val="000000"/>
          <w:spacing w:val="10"/>
          <w:sz w:val="24"/>
          <w:szCs w:val="24"/>
        </w:rPr>
        <w:t>Apparatus used for particle size distribution test</w:t>
      </w:r>
    </w:p>
    <w:p w:rsidR="00903B60" w:rsidRPr="00770D36" w:rsidRDefault="00903B60" w:rsidP="00903B60">
      <w:pPr>
        <w:spacing w:after="0" w:line="360" w:lineRule="auto"/>
        <w:ind w:firstLine="720"/>
        <w:contextualSpacing/>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The apparatus used for sieve analysis test are:</w:t>
      </w:r>
    </w:p>
    <w:p w:rsidR="00903B60" w:rsidRPr="00770D36" w:rsidRDefault="00903B60" w:rsidP="00903B60">
      <w:pPr>
        <w:pStyle w:val="ListParagraph"/>
        <w:numPr>
          <w:ilvl w:val="0"/>
          <w:numId w:val="13"/>
        </w:numPr>
        <w:spacing w:after="0" w:line="360" w:lineRule="auto"/>
        <w:ind w:left="1418"/>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Set of sieves</w:t>
      </w:r>
    </w:p>
    <w:p w:rsidR="00903B60" w:rsidRPr="00770D36" w:rsidRDefault="00903B60" w:rsidP="00903B60">
      <w:pPr>
        <w:pStyle w:val="ListParagraph"/>
        <w:numPr>
          <w:ilvl w:val="0"/>
          <w:numId w:val="13"/>
        </w:numPr>
        <w:spacing w:after="0" w:line="360" w:lineRule="auto"/>
        <w:ind w:left="1418"/>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8"/>
          <w:sz w:val="24"/>
          <w:szCs w:val="24"/>
        </w:rPr>
        <w:t xml:space="preserve">Weighing balance </w:t>
      </w:r>
      <w:r w:rsidRPr="00770D36">
        <w:rPr>
          <w:rFonts w:ascii="Times New Roman" w:hAnsi="Times New Roman" w:cs="Times New Roman"/>
          <w:color w:val="000000"/>
          <w:spacing w:val="-2"/>
          <w:sz w:val="24"/>
          <w:szCs w:val="24"/>
        </w:rPr>
        <w:t>machine</w:t>
      </w:r>
    </w:p>
    <w:p w:rsidR="00903B60" w:rsidRPr="00770D36" w:rsidRDefault="00903B60" w:rsidP="00903B60">
      <w:pPr>
        <w:pStyle w:val="ListParagraph"/>
        <w:numPr>
          <w:ilvl w:val="0"/>
          <w:numId w:val="13"/>
        </w:numPr>
        <w:spacing w:after="0" w:line="360" w:lineRule="auto"/>
        <w:ind w:left="1418"/>
        <w:jc w:val="both"/>
        <w:rPr>
          <w:rFonts w:ascii="Times New Roman" w:hAnsi="Times New Roman" w:cs="Times New Roman"/>
          <w:color w:val="000000"/>
          <w:spacing w:val="10"/>
          <w:sz w:val="24"/>
          <w:szCs w:val="24"/>
        </w:rPr>
      </w:pPr>
      <w:r w:rsidRPr="00770D36">
        <w:rPr>
          <w:rFonts w:ascii="Times New Roman" w:hAnsi="Times New Roman" w:cs="Times New Roman"/>
          <w:color w:val="000000"/>
          <w:sz w:val="24"/>
          <w:szCs w:val="24"/>
        </w:rPr>
        <w:t>Empty container</w:t>
      </w:r>
    </w:p>
    <w:p w:rsidR="00903B60" w:rsidRPr="00770D36" w:rsidRDefault="00903B60" w:rsidP="00903B60">
      <w:pPr>
        <w:pStyle w:val="ListParagraph"/>
        <w:numPr>
          <w:ilvl w:val="0"/>
          <w:numId w:val="13"/>
        </w:numPr>
        <w:spacing w:after="0" w:line="360" w:lineRule="auto"/>
        <w:ind w:left="1418"/>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Oven</w:t>
      </w:r>
    </w:p>
    <w:p w:rsidR="00903B60" w:rsidRPr="00770D36" w:rsidRDefault="00903B60" w:rsidP="00903B60">
      <w:pPr>
        <w:spacing w:after="0"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Test procedure</w:t>
      </w:r>
    </w:p>
    <w:p w:rsidR="00903B60" w:rsidRPr="00770D36" w:rsidRDefault="00903B60" w:rsidP="00903B60">
      <w:pPr>
        <w:pStyle w:val="ListParagraph"/>
        <w:numPr>
          <w:ilvl w:val="0"/>
          <w:numId w:val="2"/>
        </w:numPr>
        <w:spacing w:after="0" w:line="360" w:lineRule="auto"/>
        <w:ind w:left="567" w:hanging="425"/>
        <w:jc w:val="both"/>
        <w:rPr>
          <w:rFonts w:ascii="Times New Roman" w:hAnsi="Times New Roman" w:cs="Times New Roman"/>
          <w:b/>
          <w:sz w:val="24"/>
          <w:szCs w:val="24"/>
        </w:rPr>
      </w:pPr>
      <w:r w:rsidRPr="00770D36">
        <w:rPr>
          <w:rFonts w:ascii="Times New Roman" w:hAnsi="Times New Roman" w:cs="Times New Roman"/>
          <w:sz w:val="24"/>
          <w:szCs w:val="24"/>
        </w:rPr>
        <w:t>500g of dry aggregate was weighed out of the sample.</w:t>
      </w:r>
    </w:p>
    <w:p w:rsidR="00903B60" w:rsidRPr="00770D36" w:rsidRDefault="00903B60" w:rsidP="00903B60">
      <w:pPr>
        <w:pStyle w:val="ListParagraph"/>
        <w:numPr>
          <w:ilvl w:val="0"/>
          <w:numId w:val="2"/>
        </w:numPr>
        <w:spacing w:after="0" w:line="360" w:lineRule="auto"/>
        <w:ind w:left="567" w:hanging="425"/>
        <w:jc w:val="both"/>
        <w:rPr>
          <w:rFonts w:ascii="Times New Roman" w:hAnsi="Times New Roman" w:cs="Times New Roman"/>
          <w:b/>
          <w:sz w:val="24"/>
          <w:szCs w:val="24"/>
        </w:rPr>
      </w:pPr>
      <w:r w:rsidRPr="00770D36">
        <w:rPr>
          <w:rFonts w:ascii="Times New Roman" w:hAnsi="Times New Roman" w:cs="Times New Roman"/>
          <w:sz w:val="24"/>
          <w:szCs w:val="24"/>
        </w:rPr>
        <w:t>Each sieve size was weighed and recorded.</w:t>
      </w:r>
    </w:p>
    <w:p w:rsidR="00903B60" w:rsidRPr="00770D36" w:rsidRDefault="00903B60" w:rsidP="00903B60">
      <w:pPr>
        <w:pStyle w:val="ListParagraph"/>
        <w:numPr>
          <w:ilvl w:val="0"/>
          <w:numId w:val="2"/>
        </w:numPr>
        <w:spacing w:after="0" w:line="360" w:lineRule="auto"/>
        <w:ind w:left="567" w:hanging="425"/>
        <w:jc w:val="both"/>
        <w:rPr>
          <w:rFonts w:ascii="Times New Roman" w:hAnsi="Times New Roman" w:cs="Times New Roman"/>
          <w:b/>
          <w:sz w:val="24"/>
          <w:szCs w:val="24"/>
        </w:rPr>
      </w:pPr>
      <w:r w:rsidRPr="00770D36">
        <w:rPr>
          <w:rFonts w:ascii="Times New Roman" w:hAnsi="Times New Roman" w:cs="Times New Roman"/>
          <w:sz w:val="24"/>
          <w:szCs w:val="24"/>
        </w:rPr>
        <w:t>The sample of soil was then poured into the sieves which has a pan at the bottom.</w:t>
      </w:r>
    </w:p>
    <w:p w:rsidR="00903B60" w:rsidRPr="00770D36" w:rsidRDefault="00903B60" w:rsidP="00903B60">
      <w:pPr>
        <w:pStyle w:val="ListParagraph"/>
        <w:numPr>
          <w:ilvl w:val="0"/>
          <w:numId w:val="2"/>
        </w:numPr>
        <w:spacing w:after="0" w:line="360" w:lineRule="auto"/>
        <w:ind w:left="567" w:hanging="425"/>
        <w:jc w:val="both"/>
        <w:rPr>
          <w:rFonts w:ascii="Times New Roman" w:hAnsi="Times New Roman" w:cs="Times New Roman"/>
          <w:b/>
          <w:sz w:val="24"/>
          <w:szCs w:val="24"/>
        </w:rPr>
      </w:pPr>
      <w:r w:rsidRPr="00770D36">
        <w:rPr>
          <w:rFonts w:ascii="Times New Roman" w:hAnsi="Times New Roman" w:cs="Times New Roman"/>
          <w:sz w:val="24"/>
          <w:szCs w:val="24"/>
        </w:rPr>
        <w:t>The sieve was shaken manually for ten (10) minutes.</w:t>
      </w:r>
    </w:p>
    <w:p w:rsidR="00903B60" w:rsidRPr="00770D36" w:rsidRDefault="00903B60" w:rsidP="00903B60">
      <w:pPr>
        <w:pStyle w:val="ListParagraph"/>
        <w:numPr>
          <w:ilvl w:val="0"/>
          <w:numId w:val="2"/>
        </w:numPr>
        <w:spacing w:after="0" w:line="360" w:lineRule="auto"/>
        <w:ind w:left="567" w:hanging="425"/>
        <w:jc w:val="both"/>
        <w:rPr>
          <w:rFonts w:ascii="Times New Roman" w:hAnsi="Times New Roman" w:cs="Times New Roman"/>
          <w:b/>
          <w:sz w:val="24"/>
          <w:szCs w:val="24"/>
        </w:rPr>
      </w:pPr>
      <w:r w:rsidRPr="00770D36">
        <w:rPr>
          <w:rFonts w:ascii="Times New Roman" w:hAnsi="Times New Roman" w:cs="Times New Roman"/>
          <w:sz w:val="24"/>
          <w:szCs w:val="24"/>
        </w:rPr>
        <w:t>The amount of soil retained on each sieve was weighed and the mass was recorded.</w:t>
      </w:r>
    </w:p>
    <w:p w:rsidR="00903B60" w:rsidRPr="00770D36" w:rsidRDefault="00903B60" w:rsidP="00903B60">
      <w:pPr>
        <w:pStyle w:val="ListParagraph"/>
        <w:numPr>
          <w:ilvl w:val="0"/>
          <w:numId w:val="2"/>
        </w:numPr>
        <w:spacing w:after="0" w:line="360" w:lineRule="auto"/>
        <w:ind w:left="567" w:hanging="425"/>
        <w:jc w:val="both"/>
        <w:rPr>
          <w:rFonts w:ascii="Times New Roman" w:hAnsi="Times New Roman" w:cs="Times New Roman"/>
          <w:b/>
          <w:sz w:val="24"/>
          <w:szCs w:val="24"/>
        </w:rPr>
      </w:pPr>
      <w:r w:rsidRPr="00770D36">
        <w:rPr>
          <w:rFonts w:ascii="Times New Roman" w:hAnsi="Times New Roman" w:cs="Times New Roman"/>
          <w:sz w:val="24"/>
          <w:szCs w:val="24"/>
        </w:rPr>
        <w:t>The grain curve is then plotted with percentage passing on the ordinate axis and particle size on the co-ordinate axis.</w:t>
      </w:r>
    </w:p>
    <w:p w:rsidR="00903B60" w:rsidRPr="00770D36" w:rsidRDefault="00903B60" w:rsidP="00903B60">
      <w:pPr>
        <w:pStyle w:val="ListParagraph"/>
        <w:numPr>
          <w:ilvl w:val="0"/>
          <w:numId w:val="1"/>
        </w:numPr>
        <w:spacing w:after="0" w:line="360" w:lineRule="auto"/>
        <w:ind w:left="1530"/>
        <w:jc w:val="both"/>
        <w:rPr>
          <w:rFonts w:ascii="Times New Roman" w:hAnsi="Times New Roman" w:cs="Times New Roman"/>
          <w:sz w:val="24"/>
          <w:szCs w:val="24"/>
        </w:rPr>
      </w:pPr>
      <w:r w:rsidRPr="00770D36">
        <w:rPr>
          <w:rFonts w:ascii="Times New Roman" w:hAnsi="Times New Roman" w:cs="Times New Roman"/>
          <w:sz w:val="24"/>
          <w:szCs w:val="24"/>
        </w:rPr>
        <w:t xml:space="preserve">Percentage retained =  </w:t>
      </w:r>
      <m:oMath>
        <m:f>
          <m:fPr>
            <m:ctrlPr>
              <w:rPr>
                <w:rFonts w:ascii="Cambria Math" w:hAnsi="Cambria Math" w:cs="Times New Roman"/>
                <w:sz w:val="24"/>
                <w:szCs w:val="24"/>
              </w:rPr>
            </m:ctrlPr>
          </m:fPr>
          <m:num>
            <m:r>
              <m:rPr>
                <m:sty m:val="p"/>
              </m:rPr>
              <w:rPr>
                <w:rFonts w:ascii="Cambria Math" w:hAnsi="Cambria Math" w:cs="Times New Roman"/>
                <w:sz w:val="24"/>
                <w:szCs w:val="24"/>
              </w:rPr>
              <m:t>Weight of soil</m:t>
            </m:r>
          </m:num>
          <m:den>
            <m:r>
              <m:rPr>
                <m:sty m:val="p"/>
              </m:rPr>
              <w:rPr>
                <w:rFonts w:ascii="Cambria Math" w:hAnsi="Cambria Math" w:cs="Times New Roman"/>
                <w:sz w:val="24"/>
                <w:szCs w:val="24"/>
              </w:rPr>
              <m:t>Total weight of sample</m:t>
            </m:r>
          </m:den>
        </m:f>
      </m:oMath>
      <w:r w:rsidRPr="00770D36">
        <w:rPr>
          <w:rFonts w:ascii="Times New Roman" w:eastAsiaTheme="minorEastAsia" w:hAnsi="Times New Roman" w:cs="Times New Roman"/>
          <w:sz w:val="24"/>
          <w:szCs w:val="24"/>
        </w:rPr>
        <w:t xml:space="preserve"> x 100%</w:t>
      </w:r>
    </w:p>
    <w:p w:rsidR="00903B60" w:rsidRPr="00770D36" w:rsidRDefault="00903B60" w:rsidP="00903B60">
      <w:pPr>
        <w:pStyle w:val="ListParagraph"/>
        <w:numPr>
          <w:ilvl w:val="0"/>
          <w:numId w:val="1"/>
        </w:numPr>
        <w:spacing w:after="0" w:line="360" w:lineRule="auto"/>
        <w:ind w:left="1530"/>
        <w:jc w:val="both"/>
        <w:rPr>
          <w:rFonts w:ascii="Times New Roman" w:hAnsi="Times New Roman" w:cs="Times New Roman"/>
          <w:sz w:val="24"/>
          <w:szCs w:val="24"/>
        </w:rPr>
      </w:pPr>
      <w:r w:rsidRPr="00770D36">
        <w:rPr>
          <w:rFonts w:ascii="Times New Roman" w:hAnsi="Times New Roman" w:cs="Times New Roman"/>
          <w:sz w:val="24"/>
          <w:szCs w:val="24"/>
        </w:rPr>
        <w:t>Cumulative % retained = Sum of percentage retained on all sieves</w:t>
      </w:r>
    </w:p>
    <w:p w:rsidR="00903B60" w:rsidRPr="00770D36" w:rsidRDefault="00903B60" w:rsidP="00903B60">
      <w:pPr>
        <w:pStyle w:val="ListParagraph"/>
        <w:numPr>
          <w:ilvl w:val="0"/>
          <w:numId w:val="1"/>
        </w:numPr>
        <w:spacing w:after="0" w:line="360" w:lineRule="auto"/>
        <w:ind w:left="1530"/>
        <w:jc w:val="both"/>
        <w:rPr>
          <w:rFonts w:ascii="Times New Roman" w:hAnsi="Times New Roman" w:cs="Times New Roman"/>
          <w:sz w:val="24"/>
          <w:szCs w:val="24"/>
        </w:rPr>
      </w:pPr>
      <w:r w:rsidRPr="00770D36">
        <w:rPr>
          <w:rFonts w:ascii="Times New Roman" w:hAnsi="Times New Roman" w:cs="Times New Roman"/>
          <w:sz w:val="24"/>
          <w:szCs w:val="24"/>
        </w:rPr>
        <w:t>Cumulative % passing = 100%</w:t>
      </w:r>
    </w:p>
    <w:p w:rsidR="00903B60" w:rsidRPr="00770D36" w:rsidRDefault="00903B60" w:rsidP="00903B60">
      <w:pPr>
        <w:pStyle w:val="ListParagraph"/>
        <w:numPr>
          <w:ilvl w:val="0"/>
          <w:numId w:val="3"/>
        </w:numPr>
        <w:spacing w:after="0" w:line="360" w:lineRule="auto"/>
        <w:jc w:val="both"/>
        <w:rPr>
          <w:rFonts w:ascii="Times New Roman" w:hAnsi="Times New Roman" w:cs="Times New Roman"/>
          <w:b/>
          <w:sz w:val="24"/>
          <w:szCs w:val="24"/>
        </w:rPr>
      </w:pPr>
      <w:r w:rsidRPr="00770D36">
        <w:rPr>
          <w:rFonts w:ascii="Times New Roman" w:hAnsi="Times New Roman" w:cs="Times New Roman"/>
          <w:b/>
          <w:sz w:val="24"/>
          <w:szCs w:val="24"/>
        </w:rPr>
        <w:t>Specific Gravity and Absorption</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 xml:space="preserve">Specific gravity and absorption are important physical properties of aggregates, including fine aggregates used in concrete. These properties provide valuable insights into the density, porosity, and moisture content characteristics of the aggregate, which in turn influence the behavior of concrete mixes (Garcia </w:t>
      </w:r>
      <w:r w:rsidRPr="008C6577">
        <w:rPr>
          <w:rFonts w:ascii="Times New Roman" w:hAnsi="Times New Roman" w:cs="Times New Roman"/>
          <w:i/>
          <w:sz w:val="24"/>
          <w:szCs w:val="24"/>
        </w:rPr>
        <w:t>et al.,</w:t>
      </w:r>
      <w:r w:rsidRPr="00770D36">
        <w:rPr>
          <w:rFonts w:ascii="Times New Roman" w:hAnsi="Times New Roman" w:cs="Times New Roman"/>
          <w:sz w:val="24"/>
          <w:szCs w:val="24"/>
        </w:rPr>
        <w:t xml:space="preserve"> 2018). </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 xml:space="preserve">Specific gravity, also known as relative density, is a measure of the density of a material compared to the density of water. In the context of aggregates, specific gravity indicates how dense the aggregate particles are relative to an equal volume of water. It is typically determined by comparing the weight of a given volume of dry aggregate to the weight of an equal volume of water at a specified temperature. Specific gravity values for aggregates usually range between 2.5 to 3.0 for most natural aggregates, with denser materials having higher specific gravity values. Specific gravity is an important parameter in concrete mix design as it affects the yield of concrete per unit volume and helps in estimating the proportion of solid particles in the aggregate (Garcia </w:t>
      </w:r>
      <w:r w:rsidRPr="00702EFC">
        <w:rPr>
          <w:rFonts w:ascii="Times New Roman" w:hAnsi="Times New Roman" w:cs="Times New Roman"/>
          <w:i/>
          <w:sz w:val="24"/>
          <w:szCs w:val="24"/>
        </w:rPr>
        <w:t>et al.,</w:t>
      </w:r>
      <w:r w:rsidRPr="00770D36">
        <w:rPr>
          <w:rFonts w:ascii="Times New Roman" w:hAnsi="Times New Roman" w:cs="Times New Roman"/>
          <w:sz w:val="24"/>
          <w:szCs w:val="24"/>
        </w:rPr>
        <w:t xml:space="preserve"> 2018).</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 xml:space="preserve">Absorption refers to the ability of an aggregate to absorb moisture, typically expressed as a percentage of the aggregate's weight. This property is determined by immersing the aggregate in water for a specified period and then weighing it in both dry and saturated conditions. Absorption is influenced by the porosity and pore structure of the aggregate, with porous aggregates having higher absorption values. Excessive absorption in aggregates can lead to an increase in the water demand of concrete mixes, affecting workability, strength, and durability. Therefore, controlling absorption is important in ensuring the quality and performance of concrete. Absorption values also play a role in adjusting the water-cement ratio in concrete mix designs to account for the moisture held by the aggregate (Garcia </w:t>
      </w:r>
      <w:r w:rsidRPr="008C6577">
        <w:rPr>
          <w:rFonts w:ascii="Times New Roman" w:hAnsi="Times New Roman" w:cs="Times New Roman"/>
          <w:i/>
          <w:sz w:val="24"/>
          <w:szCs w:val="24"/>
        </w:rPr>
        <w:t>et al.,</w:t>
      </w:r>
      <w:r w:rsidRPr="00770D36">
        <w:rPr>
          <w:rFonts w:ascii="Times New Roman" w:hAnsi="Times New Roman" w:cs="Times New Roman"/>
          <w:sz w:val="24"/>
          <w:szCs w:val="24"/>
        </w:rPr>
        <w:t xml:space="preserve"> 2018).</w:t>
      </w:r>
    </w:p>
    <w:p w:rsidR="00903B60" w:rsidRPr="00770D36" w:rsidRDefault="00903B60" w:rsidP="00903B60">
      <w:pPr>
        <w:spacing w:after="0" w:line="360" w:lineRule="auto"/>
        <w:contextualSpacing/>
        <w:jc w:val="both"/>
        <w:rPr>
          <w:rFonts w:ascii="Times New Roman" w:hAnsi="Times New Roman" w:cs="Times New Roman"/>
          <w:b/>
          <w:color w:val="000000"/>
          <w:spacing w:val="10"/>
          <w:sz w:val="24"/>
          <w:szCs w:val="24"/>
        </w:rPr>
      </w:pPr>
      <w:r w:rsidRPr="00770D36">
        <w:rPr>
          <w:rFonts w:ascii="Times New Roman" w:hAnsi="Times New Roman" w:cs="Times New Roman"/>
          <w:b/>
          <w:color w:val="000000"/>
          <w:spacing w:val="10"/>
          <w:sz w:val="24"/>
          <w:szCs w:val="24"/>
        </w:rPr>
        <w:t>Apparatus used for test</w:t>
      </w:r>
    </w:p>
    <w:p w:rsidR="00903B60" w:rsidRPr="00770D36" w:rsidRDefault="00903B60" w:rsidP="00903B60">
      <w:pPr>
        <w:pStyle w:val="ListParagraph"/>
        <w:numPr>
          <w:ilvl w:val="0"/>
          <w:numId w:val="4"/>
        </w:numPr>
        <w:spacing w:after="0" w:line="360" w:lineRule="auto"/>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Pycnometer</w:t>
      </w:r>
    </w:p>
    <w:p w:rsidR="00903B60" w:rsidRPr="00770D36" w:rsidRDefault="00903B60" w:rsidP="00903B60">
      <w:pPr>
        <w:pStyle w:val="ListParagraph"/>
        <w:numPr>
          <w:ilvl w:val="0"/>
          <w:numId w:val="4"/>
        </w:numPr>
        <w:spacing w:after="0" w:line="360" w:lineRule="auto"/>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Container with water</w:t>
      </w:r>
    </w:p>
    <w:p w:rsidR="00903B60" w:rsidRPr="00770D36" w:rsidRDefault="00903B60" w:rsidP="00903B60">
      <w:pPr>
        <w:pStyle w:val="ListParagraph"/>
        <w:numPr>
          <w:ilvl w:val="0"/>
          <w:numId w:val="4"/>
        </w:numPr>
        <w:spacing w:after="0" w:line="360" w:lineRule="auto"/>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Weighing scale</w:t>
      </w:r>
    </w:p>
    <w:p w:rsidR="00903B60" w:rsidRPr="00770D36" w:rsidRDefault="00903B60" w:rsidP="00903B60">
      <w:pPr>
        <w:pStyle w:val="ListParagraph"/>
        <w:numPr>
          <w:ilvl w:val="0"/>
          <w:numId w:val="4"/>
        </w:numPr>
        <w:spacing w:after="0" w:line="360" w:lineRule="auto"/>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Drying pan</w:t>
      </w:r>
    </w:p>
    <w:p w:rsidR="00903B60" w:rsidRPr="00770D36" w:rsidRDefault="00903B60" w:rsidP="00903B60">
      <w:pPr>
        <w:pStyle w:val="ListParagraph"/>
        <w:numPr>
          <w:ilvl w:val="0"/>
          <w:numId w:val="4"/>
        </w:numPr>
        <w:spacing w:after="0" w:line="360" w:lineRule="auto"/>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Graduated cylinder</w:t>
      </w:r>
    </w:p>
    <w:p w:rsidR="00903B60" w:rsidRPr="00770D36" w:rsidRDefault="00903B60" w:rsidP="00903B60">
      <w:pPr>
        <w:pStyle w:val="ListParagraph"/>
        <w:numPr>
          <w:ilvl w:val="0"/>
          <w:numId w:val="4"/>
        </w:numPr>
        <w:spacing w:after="0" w:line="360" w:lineRule="auto"/>
        <w:jc w:val="both"/>
        <w:rPr>
          <w:rFonts w:ascii="Times New Roman" w:hAnsi="Times New Roman" w:cs="Times New Roman"/>
          <w:color w:val="000000"/>
          <w:spacing w:val="10"/>
          <w:sz w:val="24"/>
          <w:szCs w:val="24"/>
        </w:rPr>
      </w:pPr>
      <w:r w:rsidRPr="00770D36">
        <w:rPr>
          <w:rFonts w:ascii="Times New Roman" w:hAnsi="Times New Roman" w:cs="Times New Roman"/>
          <w:color w:val="000000"/>
          <w:spacing w:val="10"/>
          <w:sz w:val="24"/>
          <w:szCs w:val="24"/>
        </w:rPr>
        <w:t>Desiccator</w:t>
      </w:r>
    </w:p>
    <w:p w:rsidR="00903B60" w:rsidRPr="00770D36" w:rsidRDefault="00903B60" w:rsidP="00903B60">
      <w:pPr>
        <w:spacing w:after="0"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Test procedure (Specific Gravity Test)</w:t>
      </w:r>
    </w:p>
    <w:p w:rsidR="00903B60" w:rsidRPr="00770D36" w:rsidRDefault="00903B60" w:rsidP="00903B60">
      <w:pPr>
        <w:pStyle w:val="ListParagraph"/>
        <w:numPr>
          <w:ilvl w:val="0"/>
          <w:numId w:val="5"/>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Clean and dry the pycnometer thoroughly.</w:t>
      </w:r>
    </w:p>
    <w:p w:rsidR="00903B60" w:rsidRPr="00770D36" w:rsidRDefault="00903B60" w:rsidP="00903B60">
      <w:pPr>
        <w:pStyle w:val="ListParagraph"/>
        <w:numPr>
          <w:ilvl w:val="0"/>
          <w:numId w:val="5"/>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 xml:space="preserve"> Fill the pycnometer with water and weigh it (W1). Record the weight.</w:t>
      </w:r>
    </w:p>
    <w:p w:rsidR="00903B60" w:rsidRPr="00770D36" w:rsidRDefault="00903B60" w:rsidP="00903B60">
      <w:pPr>
        <w:pStyle w:val="ListParagraph"/>
        <w:numPr>
          <w:ilvl w:val="0"/>
          <w:numId w:val="5"/>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Dry the fine aggregate sample in a drying oven until it reaches a constant weight.</w:t>
      </w:r>
    </w:p>
    <w:p w:rsidR="00903B60" w:rsidRPr="00770D36" w:rsidRDefault="00903B60" w:rsidP="00903B60">
      <w:pPr>
        <w:pStyle w:val="ListParagraph"/>
        <w:numPr>
          <w:ilvl w:val="0"/>
          <w:numId w:val="5"/>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Fill the pycnometer with a known volume of dry aggregate (V).</w:t>
      </w:r>
    </w:p>
    <w:p w:rsidR="00903B60" w:rsidRPr="00770D36" w:rsidRDefault="00903B60" w:rsidP="00903B60">
      <w:pPr>
        <w:pStyle w:val="ListParagraph"/>
        <w:numPr>
          <w:ilvl w:val="0"/>
          <w:numId w:val="5"/>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Add water to the pycnometer until it is completely filled, ensuring there are no air bubbles.</w:t>
      </w:r>
    </w:p>
    <w:p w:rsidR="00903B60" w:rsidRPr="00770D36" w:rsidRDefault="00903B60" w:rsidP="00903B60">
      <w:pPr>
        <w:pStyle w:val="ListParagraph"/>
        <w:numPr>
          <w:ilvl w:val="0"/>
          <w:numId w:val="5"/>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Weigh the pycnometer with water and aggregate (W2).</w:t>
      </w:r>
    </w:p>
    <w:p w:rsidR="00903B60" w:rsidRPr="00770D36" w:rsidRDefault="00903B60" w:rsidP="00903B60">
      <w:pPr>
        <w:pStyle w:val="ListParagraph"/>
        <w:numPr>
          <w:ilvl w:val="0"/>
          <w:numId w:val="5"/>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Calculate the specific gravity using the formula:</w:t>
      </w:r>
    </w:p>
    <w:p w:rsidR="00903B60" w:rsidRPr="00770D36" w:rsidRDefault="00903B60" w:rsidP="00903B60">
      <w:pPr>
        <w:spacing w:after="0" w:line="360" w:lineRule="auto"/>
        <w:ind w:left="1080" w:firstLine="360"/>
        <w:jc w:val="both"/>
        <w:rPr>
          <w:rFonts w:ascii="Times New Roman" w:hAnsi="Times New Roman" w:cs="Times New Roman"/>
          <w:b/>
          <w:sz w:val="24"/>
          <w:szCs w:val="24"/>
        </w:rPr>
      </w:pPr>
      <m:oMathPara>
        <m:oMathParaPr>
          <m:jc m:val="left"/>
        </m:oMathParaPr>
        <m:oMath>
          <m:r>
            <m:rPr>
              <m:sty m:val="b"/>
            </m:rPr>
            <w:rPr>
              <w:rFonts w:ascii="Cambria Math" w:hAnsi="Cambria Math" w:cs="Times New Roman"/>
              <w:sz w:val="24"/>
              <w:szCs w:val="24"/>
            </w:rPr>
            <m:t xml:space="preserve">Specific Gravity= </m:t>
          </m:r>
          <m:f>
            <m:fPr>
              <m:ctrlPr>
                <w:rPr>
                  <w:rFonts w:ascii="Cambria Math" w:hAnsi="Cambria Math" w:cs="Times New Roman"/>
                  <w:sz w:val="24"/>
                  <w:szCs w:val="24"/>
                </w:rPr>
              </m:ctrlPr>
            </m:fPr>
            <m:num>
              <m:r>
                <m:rPr>
                  <m:sty m:val="p"/>
                </m:rPr>
                <w:rPr>
                  <w:rFonts w:ascii="Cambria Math" w:hAnsi="Cambria Math" w:cs="Times New Roman"/>
                  <w:sz w:val="24"/>
                  <w:szCs w:val="24"/>
                </w:rPr>
                <m:t>W2-W1</m:t>
              </m:r>
            </m:num>
            <m:den>
              <m:r>
                <m:rPr>
                  <m:sty m:val="p"/>
                </m:rPr>
                <w:rPr>
                  <w:rFonts w:ascii="Cambria Math" w:hAnsi="Cambria Math" w:cs="Times New Roman"/>
                  <w:sz w:val="24"/>
                  <w:szCs w:val="24"/>
                </w:rPr>
                <m:t>W2-W1-V</m:t>
              </m:r>
            </m:den>
          </m:f>
        </m:oMath>
      </m:oMathPara>
    </w:p>
    <w:p w:rsidR="00903B60" w:rsidRPr="00770D36" w:rsidRDefault="00903B60" w:rsidP="00903B60">
      <w:pPr>
        <w:pStyle w:val="ListParagraph"/>
        <w:numPr>
          <w:ilvl w:val="0"/>
          <w:numId w:val="5"/>
        </w:numPr>
        <w:spacing w:after="0" w:line="360" w:lineRule="auto"/>
        <w:ind w:left="851" w:hanging="491"/>
        <w:jc w:val="both"/>
        <w:rPr>
          <w:rFonts w:ascii="Times New Roman" w:hAnsi="Times New Roman" w:cs="Times New Roman"/>
          <w:sz w:val="24"/>
          <w:szCs w:val="24"/>
        </w:rPr>
      </w:pPr>
      <w:r w:rsidRPr="00770D36">
        <w:rPr>
          <w:rFonts w:ascii="Times New Roman" w:hAnsi="Times New Roman" w:cs="Times New Roman"/>
          <w:sz w:val="24"/>
          <w:szCs w:val="24"/>
        </w:rPr>
        <w:t>Repeat the test with multiple samples to ensure accuracy and repeatability.</w:t>
      </w:r>
    </w:p>
    <w:p w:rsidR="00903B60" w:rsidRPr="00770D36" w:rsidRDefault="00903B60" w:rsidP="00903B60">
      <w:pPr>
        <w:spacing w:after="0"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Test procedure (Absorption Test)</w:t>
      </w:r>
    </w:p>
    <w:p w:rsidR="00903B60" w:rsidRPr="00770D36" w:rsidRDefault="00903B60" w:rsidP="00903B60">
      <w:pPr>
        <w:pStyle w:val="ListParagraph"/>
        <w:numPr>
          <w:ilvl w:val="0"/>
          <w:numId w:val="6"/>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Take a representative sample of fine aggregate and dry it in a drying oven until a constant weight is achieved.</w:t>
      </w:r>
    </w:p>
    <w:p w:rsidR="00903B60" w:rsidRPr="00770D36" w:rsidRDefault="00903B60" w:rsidP="00903B60">
      <w:pPr>
        <w:pStyle w:val="ListParagraph"/>
        <w:numPr>
          <w:ilvl w:val="0"/>
          <w:numId w:val="6"/>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Weigh the dry aggregate sample (W</w:t>
      </w:r>
      <w:r w:rsidRPr="00770D36">
        <w:rPr>
          <w:rFonts w:ascii="Times New Roman" w:eastAsia="Times New Roman" w:hAnsi="Times New Roman" w:cs="Times New Roman"/>
          <w:sz w:val="24"/>
          <w:szCs w:val="24"/>
          <w:vertAlign w:val="subscript"/>
        </w:rPr>
        <w:t>d</w:t>
      </w:r>
      <w:r w:rsidRPr="00770D36">
        <w:rPr>
          <w:rFonts w:ascii="Times New Roman" w:eastAsia="Times New Roman" w:hAnsi="Times New Roman" w:cs="Times New Roman"/>
          <w:sz w:val="24"/>
          <w:szCs w:val="24"/>
        </w:rPr>
        <w:t>).</w:t>
      </w:r>
    </w:p>
    <w:p w:rsidR="00903B60" w:rsidRPr="00770D36" w:rsidRDefault="00903B60" w:rsidP="00903B60">
      <w:pPr>
        <w:pStyle w:val="ListParagraph"/>
        <w:numPr>
          <w:ilvl w:val="0"/>
          <w:numId w:val="6"/>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Immerse the dried aggregate sample in water in a container for a specified duration (usually 24 hours).</w:t>
      </w:r>
    </w:p>
    <w:p w:rsidR="00903B60" w:rsidRPr="00770D36" w:rsidRDefault="00903B60" w:rsidP="00903B60">
      <w:pPr>
        <w:pStyle w:val="ListParagraph"/>
        <w:numPr>
          <w:ilvl w:val="0"/>
          <w:numId w:val="6"/>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Remove the saturated aggregate from the water, drain excess water, and wipe the surface gently with a cloth to remove surface moisture.</w:t>
      </w:r>
    </w:p>
    <w:p w:rsidR="00903B60" w:rsidRPr="00770D36" w:rsidRDefault="00903B60" w:rsidP="00903B60">
      <w:pPr>
        <w:pStyle w:val="ListParagraph"/>
        <w:numPr>
          <w:ilvl w:val="0"/>
          <w:numId w:val="6"/>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Weigh the saturated aggregate sample (Ws).</w:t>
      </w:r>
    </w:p>
    <w:p w:rsidR="00903B60" w:rsidRPr="00770D36" w:rsidRDefault="00903B60" w:rsidP="00903B60">
      <w:pPr>
        <w:pStyle w:val="ListParagraph"/>
        <w:numPr>
          <w:ilvl w:val="0"/>
          <w:numId w:val="6"/>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Place the saturated aggregate sample in a drying pan or tray and dry it in the oven until it reaches a constant weight (Wsd).</w:t>
      </w:r>
    </w:p>
    <w:p w:rsidR="00903B60" w:rsidRPr="00770D36" w:rsidRDefault="00903B60" w:rsidP="00903B60">
      <w:pPr>
        <w:pStyle w:val="ListParagraph"/>
        <w:numPr>
          <w:ilvl w:val="0"/>
          <w:numId w:val="6"/>
        </w:numPr>
        <w:spacing w:after="0" w:line="360" w:lineRule="auto"/>
        <w:jc w:val="both"/>
        <w:rPr>
          <w:rFonts w:ascii="Times New Roman" w:hAnsi="Times New Roman" w:cs="Times New Roman"/>
          <w:b/>
          <w:sz w:val="24"/>
          <w:szCs w:val="24"/>
        </w:rPr>
      </w:pPr>
      <w:r w:rsidRPr="00770D36">
        <w:rPr>
          <w:rFonts w:ascii="Times New Roman" w:eastAsia="Times New Roman" w:hAnsi="Times New Roman" w:cs="Times New Roman"/>
          <w:sz w:val="24"/>
          <w:szCs w:val="24"/>
        </w:rPr>
        <w:t>Calculate the absorption percentage using the formula:</w:t>
      </w:r>
    </w:p>
    <w:p w:rsidR="00903B60" w:rsidRPr="00770D36" w:rsidRDefault="00903B60" w:rsidP="00903B60">
      <w:pPr>
        <w:pStyle w:val="ListParagraph"/>
        <w:spacing w:after="0" w:line="360" w:lineRule="auto"/>
        <w:jc w:val="both"/>
        <w:rPr>
          <w:rFonts w:ascii="Times New Roman" w:eastAsiaTheme="minorEastAsia" w:hAnsi="Times New Roman" w:cs="Times New Roman"/>
          <w:b/>
          <w:sz w:val="24"/>
          <w:szCs w:val="24"/>
        </w:rPr>
      </w:pPr>
      <m:oMathPara>
        <m:oMath>
          <m:r>
            <m:rPr>
              <m:sty m:val="b"/>
            </m:rPr>
            <w:rPr>
              <w:rFonts w:ascii="Cambria Math" w:hAnsi="Cambria Math" w:cs="Times New Roman"/>
              <w:sz w:val="24"/>
              <w:szCs w:val="24"/>
            </w:rPr>
            <m:t>Specific Gravity=</m:t>
          </m:r>
          <m:d>
            <m:dPr>
              <m:ctrlPr>
                <w:rPr>
                  <w:rFonts w:ascii="Cambria Math" w:hAnsi="Cambria Math" w:cs="Times New Roman"/>
                  <w:b/>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Sd</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Sd</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d</m:t>
                      </m:r>
                    </m:sub>
                  </m:sSub>
                </m:den>
              </m:f>
            </m:e>
          </m:d>
          <m:r>
            <m:rPr>
              <m:sty m:val="b"/>
            </m:rPr>
            <w:rPr>
              <w:rFonts w:ascii="Cambria Math" w:hAnsi="Cambria Math" w:cs="Times New Roman"/>
              <w:sz w:val="24"/>
              <w:szCs w:val="24"/>
            </w:rPr>
            <m:t>×</m:t>
          </m:r>
          <m:r>
            <m:rPr>
              <m:sty m:val="p"/>
            </m:rPr>
            <w:rPr>
              <w:rFonts w:ascii="Cambria Math" w:hAnsi="Cambria Math" w:cs="Times New Roman"/>
              <w:sz w:val="24"/>
              <w:szCs w:val="24"/>
            </w:rPr>
            <m:t>100</m:t>
          </m:r>
          <m:r>
            <m:rPr>
              <m:sty m:val="b"/>
            </m:rPr>
            <w:rPr>
              <w:rFonts w:ascii="Cambria Math" w:hAnsi="Cambria Math" w:cs="Times New Roman"/>
              <w:sz w:val="24"/>
              <w:szCs w:val="24"/>
            </w:rPr>
            <m:t xml:space="preserve"> </m:t>
          </m:r>
        </m:oMath>
      </m:oMathPara>
    </w:p>
    <w:p w:rsidR="00903B60" w:rsidRPr="00770D36" w:rsidRDefault="00903B60" w:rsidP="00903B60">
      <w:pPr>
        <w:pStyle w:val="ListParagraph"/>
        <w:numPr>
          <w:ilvl w:val="0"/>
          <w:numId w:val="6"/>
        </w:numPr>
        <w:spacing w:after="0" w:line="360" w:lineRule="auto"/>
        <w:ind w:left="851" w:hanging="491"/>
        <w:jc w:val="both"/>
        <w:rPr>
          <w:rFonts w:ascii="Times New Roman" w:hAnsi="Times New Roman" w:cs="Times New Roman"/>
          <w:sz w:val="24"/>
          <w:szCs w:val="24"/>
        </w:rPr>
      </w:pPr>
      <w:r w:rsidRPr="00770D36">
        <w:rPr>
          <w:rFonts w:ascii="Times New Roman" w:hAnsi="Times New Roman" w:cs="Times New Roman"/>
          <w:sz w:val="24"/>
          <w:szCs w:val="24"/>
        </w:rPr>
        <w:t>Repeat the test with multiple samples to ensure accuracy and repeatability.</w:t>
      </w:r>
    </w:p>
    <w:p w:rsidR="00903B60" w:rsidRPr="00770D36" w:rsidRDefault="00903B60" w:rsidP="00903B60">
      <w:pPr>
        <w:spacing w:after="0"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3.4 Mix Design</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 xml:space="preserve">Concrete mix design is a crucial aspect of concrete technology that involves selecting the proportions of ingredients to achieve the desired properties in concrete. This process is essential for ensuring the durability, strength, and workability of concrete structures. A well-designed concrete mix not only meets the structural requirements but also considers factors such as environmental conditions, construction practices, and economic feasibility </w:t>
      </w:r>
      <w:r w:rsidRPr="00770D36">
        <w:rPr>
          <w:rFonts w:ascii="Times New Roman" w:eastAsia="Times New Roman" w:hAnsi="Times New Roman" w:cs="Times New Roman"/>
          <w:color w:val="000000"/>
          <w:sz w:val="24"/>
          <w:szCs w:val="24"/>
        </w:rPr>
        <w:t>(Olaoye, 2013)</w:t>
      </w:r>
      <w:r w:rsidRPr="00770D36">
        <w:rPr>
          <w:rFonts w:ascii="Times New Roman" w:hAnsi="Times New Roman" w:cs="Times New Roman"/>
          <w:sz w:val="24"/>
          <w:szCs w:val="24"/>
        </w:rPr>
        <w:t>.</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The mix design for hybrid foam concrete incorporating palm kernel oil (PKO) solvent is developed to achieve an optimal balance between strength, density, and water absorption characteristics. Foam concrete is typically composed of cement, fine aggregates (Clean, well graded river sand), water, and a foaming agent. The uniqueness of this lies in the incorporation of PKO either as a partial replacement for water or as a modifying agent in the mix. However, in this study, the conventional cement-sand-water slurry is modified by incorporating palm kernel oil (PKO) solvent, which is hypothesized to alter the microstructure and reduce water permeability. The cement-to-sand ratio will be maintained between 1:2 and 1:3, while the water-to-cement ratio (w/c) will be adjusted within the range of 0.4 to 0.6 to account for the presence of the PKO solvent. The foaming agent will be diluted with water and aerated using a mechanical foam generator until a stable foam is produced.</w:t>
      </w:r>
    </w:p>
    <w:p w:rsidR="00903B60" w:rsidRPr="00770D36" w:rsidRDefault="00903B60" w:rsidP="00903B60">
      <w:pPr>
        <w:pStyle w:val="ListParagraph"/>
        <w:spacing w:after="0" w:line="360" w:lineRule="auto"/>
        <w:ind w:left="0" w:firstLine="720"/>
        <w:jc w:val="both"/>
        <w:rPr>
          <w:rFonts w:ascii="Times New Roman" w:hAnsi="Times New Roman" w:cs="Times New Roman"/>
          <w:sz w:val="24"/>
          <w:szCs w:val="24"/>
        </w:rPr>
      </w:pPr>
      <w:r w:rsidRPr="00770D36">
        <w:rPr>
          <w:rFonts w:ascii="Times New Roman" w:hAnsi="Times New Roman" w:cs="Times New Roman"/>
          <w:sz w:val="24"/>
          <w:szCs w:val="24"/>
        </w:rPr>
        <w:t>The preparation process will involve mixing the cement, sand, water (and PKO solvent), and additives thoroughly to achieve a homogeneous slurry. The pre-formed foam will then be carefully blended into this slurry to form the final mix, ensuring even distribution of air voids and any fiber reinforcements. The fresh hybrid foam concrete will be cast into 150 mm³ cube moulds in three layers, with each layer gently compacted to preserve the integrity of the foam cells. After casting, the specimens will be allowed to set for 24 hours before demolding. The cured samples will then be subjected to water curing at predetermined intervals (7, 14, and 28 days) to simulate standard curing conditions. To assess water absorption, specimens will oven-dried at 105°C until a constant mass is achieved, then immersed in water for 24 hours, and finally weighed to determine the increase in mass. The density will be measured by calculating the ratio of the specimen's mass to its volume. These tests will be repeated for different proportions of PKO solvent to determine its optimal dosage and to understand its effect on both water absorption and density in the hybrid foam concrete.</w:t>
      </w:r>
    </w:p>
    <w:p w:rsidR="00903B60" w:rsidRPr="00770D36" w:rsidRDefault="00903B60" w:rsidP="00903B60">
      <w:pPr>
        <w:spacing w:after="100" w:afterAutospacing="1"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3.5 Laboratory Testing</w:t>
      </w:r>
    </w:p>
    <w:p w:rsidR="00903B60" w:rsidRPr="00770D36" w:rsidRDefault="00903B60" w:rsidP="00903B60">
      <w:pPr>
        <w:spacing w:after="100" w:afterAutospacing="1" w:line="360" w:lineRule="auto"/>
        <w:ind w:firstLine="720"/>
        <w:contextualSpacing/>
        <w:jc w:val="both"/>
        <w:rPr>
          <w:rFonts w:ascii="Times New Roman" w:hAnsi="Times New Roman" w:cs="Times New Roman"/>
          <w:b/>
          <w:sz w:val="24"/>
          <w:szCs w:val="24"/>
        </w:rPr>
      </w:pPr>
      <w:r w:rsidRPr="00770D36">
        <w:rPr>
          <w:rFonts w:ascii="Times New Roman" w:eastAsia="Times New Roman" w:hAnsi="Times New Roman" w:cs="Times New Roman"/>
          <w:sz w:val="24"/>
          <w:szCs w:val="24"/>
        </w:rPr>
        <w:t>In this study, two primary tests; water absorption and density determination will be conducted to evaluate the performance of hybrid foam concrete modified with palm kernel oil solvent (PKO). The water absorption test follows guidelines similar to ASTM C642. This is critical in understanding the material’s pore structure and durability, as highlighted by Banthia and Gupta (2006) and Hassan et al. (2015). Essential apparatus for this test include an electric oven, a water bath or large container, digital weighing scales, and safety equipment such as heat-resistant gloves.</w:t>
      </w:r>
    </w:p>
    <w:p w:rsidR="00903B60" w:rsidRPr="00770D36" w:rsidRDefault="00903B60" w:rsidP="00903B60">
      <w:pPr>
        <w:spacing w:after="100" w:afterAutospacing="1" w:line="360" w:lineRule="auto"/>
        <w:ind w:firstLine="720"/>
        <w:contextualSpacing/>
        <w:jc w:val="both"/>
        <w:rPr>
          <w:rFonts w:ascii="Times New Roman" w:eastAsia="Times New Roman" w:hAnsi="Times New Roman" w:cs="Times New Roman"/>
          <w:sz w:val="24"/>
          <w:szCs w:val="24"/>
        </w:rPr>
      </w:pPr>
      <w:r w:rsidRPr="00770D36">
        <w:rPr>
          <w:rFonts w:ascii="Times New Roman" w:eastAsia="Times New Roman" w:hAnsi="Times New Roman" w:cs="Times New Roman"/>
          <w:sz w:val="24"/>
          <w:szCs w:val="24"/>
        </w:rPr>
        <w:t>For density determination, the mass and dimensions of the concrete specimens are measured. This test is pivotal in assessing the influence of PKO on the compactness and overall structural performance of the foam concrete, with methodologies supported by research from Chin and Ng (2010) and Kumar et al. (2017). Accurate measurement tools such as calibrated moulds, digital calipers, and precision digital scales are used to ensure the reliability of the results.</w:t>
      </w:r>
    </w:p>
    <w:p w:rsidR="00903B60" w:rsidRPr="00770D36" w:rsidRDefault="00903B60" w:rsidP="00903B60">
      <w:pPr>
        <w:spacing w:after="100" w:afterAutospacing="1"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3.5.1 Water Absorption Test</w:t>
      </w:r>
    </w:p>
    <w:p w:rsidR="00903B60" w:rsidRPr="00770D36" w:rsidRDefault="00903B60" w:rsidP="00903B60">
      <w:pPr>
        <w:spacing w:after="100" w:afterAutospacing="1" w:line="360" w:lineRule="auto"/>
        <w:ind w:firstLine="720"/>
        <w:contextualSpacing/>
        <w:jc w:val="both"/>
        <w:rPr>
          <w:rFonts w:ascii="Times New Roman" w:hAnsi="Times New Roman" w:cs="Times New Roman"/>
          <w:b/>
          <w:sz w:val="24"/>
          <w:szCs w:val="24"/>
        </w:rPr>
      </w:pPr>
      <w:r w:rsidRPr="00770D36">
        <w:rPr>
          <w:rStyle w:val="relative"/>
          <w:rFonts w:ascii="Times New Roman" w:hAnsi="Times New Roman" w:cs="Times New Roman"/>
          <w:sz w:val="24"/>
          <w:szCs w:val="24"/>
        </w:rPr>
        <w:t>The water absorption test is a critical procedure used to assess the durability and porosity of hardened concrete.</w:t>
      </w:r>
      <w:r w:rsidRPr="00770D36">
        <w:rPr>
          <w:rFonts w:ascii="Times New Roman" w:hAnsi="Times New Roman" w:cs="Times New Roman"/>
          <w:sz w:val="24"/>
          <w:szCs w:val="24"/>
        </w:rPr>
        <w:t xml:space="preserve"> </w:t>
      </w:r>
      <w:r w:rsidRPr="00770D36">
        <w:rPr>
          <w:rStyle w:val="relative"/>
          <w:rFonts w:ascii="Times New Roman" w:hAnsi="Times New Roman" w:cs="Times New Roman"/>
          <w:sz w:val="24"/>
          <w:szCs w:val="24"/>
        </w:rPr>
        <w:t>By measuring the amount of water a concrete specimen absorbs, this test provides insights into the material's resistance to water ingress, which is directly related to its longevity and performance in various environmental conditions.</w:t>
      </w:r>
      <w:r w:rsidRPr="00770D36">
        <w:rPr>
          <w:rFonts w:ascii="Times New Roman" w:hAnsi="Times New Roman" w:cs="Times New Roman"/>
          <w:sz w:val="24"/>
          <w:szCs w:val="24"/>
        </w:rPr>
        <w:t xml:space="preserve"> </w:t>
      </w:r>
      <w:r w:rsidRPr="00770D36">
        <w:rPr>
          <w:rStyle w:val="relative"/>
          <w:rFonts w:ascii="Times New Roman" w:hAnsi="Times New Roman" w:cs="Times New Roman"/>
          <w:sz w:val="24"/>
          <w:szCs w:val="24"/>
        </w:rPr>
        <w:t>The standard method for conducting this test is outlined in ASTM C642, titled "Standard Test Method for Density, Absorption, and Voids in Hardened Concrete."</w:t>
      </w:r>
    </w:p>
    <w:p w:rsidR="00903B60" w:rsidRPr="00770D36" w:rsidRDefault="00903B60" w:rsidP="00903B60">
      <w:pPr>
        <w:spacing w:after="0"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Materials/Apparatus (Banthia &amp; Gupta, 2006);</w:t>
      </w:r>
    </w:p>
    <w:p w:rsidR="00903B60" w:rsidRPr="00770D36" w:rsidRDefault="00903B60" w:rsidP="00903B60">
      <w:pPr>
        <w:pStyle w:val="ListParagraph"/>
        <w:numPr>
          <w:ilvl w:val="0"/>
          <w:numId w:val="14"/>
        </w:numPr>
        <w:spacing w:after="100" w:afterAutospacing="1" w:line="360" w:lineRule="auto"/>
        <w:jc w:val="both"/>
        <w:rPr>
          <w:rFonts w:ascii="Times New Roman" w:hAnsi="Times New Roman" w:cs="Times New Roman"/>
          <w:b/>
          <w:sz w:val="24"/>
          <w:szCs w:val="24"/>
        </w:rPr>
      </w:pPr>
      <w:r w:rsidRPr="00770D36">
        <w:rPr>
          <w:rStyle w:val="Strong"/>
          <w:rFonts w:ascii="Times New Roman" w:hAnsi="Times New Roman" w:cs="Times New Roman"/>
          <w:sz w:val="24"/>
          <w:szCs w:val="24"/>
        </w:rPr>
        <w:t>Electric Oven:</w:t>
      </w:r>
      <w:r w:rsidRPr="00770D36">
        <w:rPr>
          <w:rFonts w:ascii="Times New Roman" w:hAnsi="Times New Roman" w:cs="Times New Roman"/>
          <w:sz w:val="24"/>
          <w:szCs w:val="24"/>
        </w:rPr>
        <w:t xml:space="preserve"> Capable of maintaining a constant temperature of 105°C for drying specimens.</w:t>
      </w:r>
    </w:p>
    <w:p w:rsidR="00903B60" w:rsidRPr="00770D36" w:rsidRDefault="00903B60" w:rsidP="00903B60">
      <w:pPr>
        <w:pStyle w:val="ListParagraph"/>
        <w:numPr>
          <w:ilvl w:val="0"/>
          <w:numId w:val="14"/>
        </w:numPr>
        <w:spacing w:after="100" w:afterAutospacing="1" w:line="360" w:lineRule="auto"/>
        <w:jc w:val="both"/>
        <w:rPr>
          <w:rFonts w:ascii="Times New Roman" w:hAnsi="Times New Roman" w:cs="Times New Roman"/>
          <w:b/>
          <w:sz w:val="24"/>
          <w:szCs w:val="24"/>
        </w:rPr>
      </w:pPr>
      <w:r w:rsidRPr="00770D36">
        <w:rPr>
          <w:rStyle w:val="Strong"/>
          <w:rFonts w:ascii="Times New Roman" w:hAnsi="Times New Roman" w:cs="Times New Roman"/>
          <w:sz w:val="24"/>
          <w:szCs w:val="24"/>
        </w:rPr>
        <w:t>Water Bath or Large Container:</w:t>
      </w:r>
      <w:r w:rsidRPr="00770D36">
        <w:rPr>
          <w:rFonts w:ascii="Times New Roman" w:hAnsi="Times New Roman" w:cs="Times New Roman"/>
          <w:sz w:val="24"/>
          <w:szCs w:val="24"/>
        </w:rPr>
        <w:t xml:space="preserve"> For immersing the specimens completely for 24 hours.</w:t>
      </w:r>
    </w:p>
    <w:p w:rsidR="00903B60" w:rsidRPr="00770D36" w:rsidRDefault="00903B60" w:rsidP="00903B60">
      <w:pPr>
        <w:pStyle w:val="ListParagraph"/>
        <w:numPr>
          <w:ilvl w:val="0"/>
          <w:numId w:val="14"/>
        </w:numPr>
        <w:spacing w:after="100" w:afterAutospacing="1" w:line="360" w:lineRule="auto"/>
        <w:jc w:val="both"/>
        <w:rPr>
          <w:rFonts w:ascii="Times New Roman" w:hAnsi="Times New Roman" w:cs="Times New Roman"/>
          <w:b/>
          <w:sz w:val="24"/>
          <w:szCs w:val="24"/>
        </w:rPr>
      </w:pPr>
      <w:r w:rsidRPr="00770D36">
        <w:rPr>
          <w:rStyle w:val="Strong"/>
          <w:rFonts w:ascii="Times New Roman" w:hAnsi="Times New Roman" w:cs="Times New Roman"/>
          <w:sz w:val="24"/>
          <w:szCs w:val="24"/>
        </w:rPr>
        <w:t>Digital Weighing Scale:</w:t>
      </w:r>
      <w:r w:rsidRPr="00770D36">
        <w:rPr>
          <w:rFonts w:ascii="Times New Roman" w:hAnsi="Times New Roman" w:cs="Times New Roman"/>
          <w:sz w:val="24"/>
          <w:szCs w:val="24"/>
        </w:rPr>
        <w:t xml:space="preserve"> A precision balance to measure the specimen’s mass before and after immersion.</w:t>
      </w:r>
    </w:p>
    <w:p w:rsidR="00903B60" w:rsidRPr="00770D36" w:rsidRDefault="00903B60" w:rsidP="00903B60">
      <w:pPr>
        <w:pStyle w:val="ListParagraph"/>
        <w:numPr>
          <w:ilvl w:val="0"/>
          <w:numId w:val="14"/>
        </w:numPr>
        <w:spacing w:after="100" w:afterAutospacing="1" w:line="360" w:lineRule="auto"/>
        <w:jc w:val="both"/>
        <w:rPr>
          <w:rFonts w:ascii="Times New Roman" w:hAnsi="Times New Roman" w:cs="Times New Roman"/>
          <w:b/>
          <w:sz w:val="24"/>
          <w:szCs w:val="24"/>
        </w:rPr>
      </w:pPr>
      <w:r w:rsidRPr="00770D36">
        <w:rPr>
          <w:rStyle w:val="Strong"/>
          <w:rFonts w:ascii="Times New Roman" w:hAnsi="Times New Roman" w:cs="Times New Roman"/>
          <w:sz w:val="24"/>
          <w:szCs w:val="24"/>
        </w:rPr>
        <w:t>Specimen Moulds:</w:t>
      </w:r>
      <w:r w:rsidRPr="00770D36">
        <w:rPr>
          <w:rFonts w:ascii="Times New Roman" w:hAnsi="Times New Roman" w:cs="Times New Roman"/>
          <w:sz w:val="24"/>
          <w:szCs w:val="24"/>
        </w:rPr>
        <w:t xml:space="preserve"> Standard cube moulds (100 mm × 100 mm × 100 mm) used for casting the foam concrete.</w:t>
      </w:r>
    </w:p>
    <w:p w:rsidR="00903B60" w:rsidRPr="00770D36" w:rsidRDefault="00903B60" w:rsidP="00903B60">
      <w:pPr>
        <w:pStyle w:val="ListParagraph"/>
        <w:numPr>
          <w:ilvl w:val="0"/>
          <w:numId w:val="14"/>
        </w:numPr>
        <w:spacing w:after="100" w:afterAutospacing="1" w:line="360" w:lineRule="auto"/>
        <w:jc w:val="both"/>
        <w:rPr>
          <w:rFonts w:ascii="Times New Roman" w:hAnsi="Times New Roman" w:cs="Times New Roman"/>
          <w:b/>
          <w:sz w:val="24"/>
          <w:szCs w:val="24"/>
        </w:rPr>
      </w:pPr>
      <w:r w:rsidRPr="00770D36">
        <w:rPr>
          <w:rStyle w:val="Strong"/>
          <w:rFonts w:ascii="Times New Roman" w:hAnsi="Times New Roman" w:cs="Times New Roman"/>
          <w:sz w:val="24"/>
          <w:szCs w:val="24"/>
        </w:rPr>
        <w:t>Protective Equipment:</w:t>
      </w:r>
      <w:r w:rsidRPr="00770D36">
        <w:rPr>
          <w:rFonts w:ascii="Times New Roman" w:hAnsi="Times New Roman" w:cs="Times New Roman"/>
          <w:sz w:val="24"/>
          <w:szCs w:val="24"/>
        </w:rPr>
        <w:t xml:space="preserve"> Heat-resistant gloves and safety goggles for handling hot materials.</w:t>
      </w:r>
    </w:p>
    <w:p w:rsidR="00903B60" w:rsidRPr="00770D36" w:rsidRDefault="00903B60" w:rsidP="00903B60">
      <w:pPr>
        <w:spacing w:after="0" w:line="360" w:lineRule="auto"/>
        <w:contextualSpacing/>
        <w:jc w:val="both"/>
        <w:rPr>
          <w:rFonts w:ascii="Times New Roman" w:hAnsi="Times New Roman" w:cs="Times New Roman"/>
          <w:b/>
          <w:sz w:val="24"/>
          <w:szCs w:val="24"/>
        </w:rPr>
      </w:pPr>
      <w:r w:rsidRPr="00770D36">
        <w:rPr>
          <w:rFonts w:ascii="Times New Roman" w:hAnsi="Times New Roman" w:cs="Times New Roman"/>
          <w:b/>
          <w:sz w:val="24"/>
          <w:szCs w:val="24"/>
        </w:rPr>
        <w:t>Procedures (Banthia &amp; Gupta, 2006);</w:t>
      </w:r>
    </w:p>
    <w:p w:rsidR="00903B60" w:rsidRPr="00770D36" w:rsidRDefault="00903B60" w:rsidP="00903B60">
      <w:pPr>
        <w:pStyle w:val="ListParagraph"/>
        <w:numPr>
          <w:ilvl w:val="0"/>
          <w:numId w:val="16"/>
        </w:numPr>
        <w:spacing w:after="0" w:line="360" w:lineRule="auto"/>
        <w:ind w:left="426"/>
        <w:jc w:val="both"/>
        <w:rPr>
          <w:rStyle w:val="Strong"/>
          <w:rFonts w:ascii="Times New Roman" w:hAnsi="Times New Roman" w:cs="Times New Roman"/>
          <w:sz w:val="24"/>
          <w:szCs w:val="24"/>
        </w:rPr>
      </w:pPr>
      <w:r w:rsidRPr="00770D36">
        <w:rPr>
          <w:rStyle w:val="Strong"/>
          <w:rFonts w:ascii="Times New Roman" w:hAnsi="Times New Roman" w:cs="Times New Roman"/>
          <w:sz w:val="24"/>
          <w:szCs w:val="24"/>
        </w:rPr>
        <w:t>Specimen Preparation:</w:t>
      </w:r>
    </w:p>
    <w:p w:rsidR="00903B60" w:rsidRPr="00770D36" w:rsidRDefault="00903B60" w:rsidP="00903B60">
      <w:pPr>
        <w:pStyle w:val="ListParagraph"/>
        <w:numPr>
          <w:ilvl w:val="0"/>
          <w:numId w:val="15"/>
        </w:numPr>
        <w:spacing w:after="100" w:afterAutospacing="1" w:line="360" w:lineRule="auto"/>
        <w:ind w:left="1134"/>
        <w:jc w:val="both"/>
        <w:rPr>
          <w:rFonts w:ascii="Times New Roman" w:hAnsi="Times New Roman" w:cs="Times New Roman"/>
          <w:b/>
          <w:sz w:val="24"/>
          <w:szCs w:val="24"/>
        </w:rPr>
      </w:pPr>
      <w:r w:rsidRPr="00770D36">
        <w:rPr>
          <w:rFonts w:ascii="Times New Roman" w:hAnsi="Times New Roman" w:cs="Times New Roman"/>
          <w:sz w:val="24"/>
          <w:szCs w:val="24"/>
        </w:rPr>
        <w:t>The hybrid foam concrete will be casted into 150mm³ cube moulds in three layers, ensuring each layer is lightly compacted to maintain foam integrity.</w:t>
      </w:r>
    </w:p>
    <w:p w:rsidR="00903B60" w:rsidRPr="00770D36" w:rsidRDefault="00903B60" w:rsidP="00903B60">
      <w:pPr>
        <w:pStyle w:val="ListParagraph"/>
        <w:numPr>
          <w:ilvl w:val="0"/>
          <w:numId w:val="15"/>
        </w:numPr>
        <w:spacing w:after="100" w:afterAutospacing="1" w:line="360" w:lineRule="auto"/>
        <w:ind w:left="1134"/>
        <w:jc w:val="both"/>
        <w:rPr>
          <w:rFonts w:ascii="Times New Roman" w:hAnsi="Times New Roman" w:cs="Times New Roman"/>
          <w:b/>
          <w:sz w:val="24"/>
          <w:szCs w:val="24"/>
        </w:rPr>
      </w:pPr>
      <w:r w:rsidRPr="00770D36">
        <w:rPr>
          <w:rFonts w:ascii="Times New Roman" w:hAnsi="Times New Roman" w:cs="Times New Roman"/>
          <w:sz w:val="24"/>
          <w:szCs w:val="24"/>
        </w:rPr>
        <w:t>The specimens will be allowed to set for 24 hours before demoulding and then cured in water for designated periods (7, 14, and 28 days).</w:t>
      </w:r>
    </w:p>
    <w:p w:rsidR="00903B60" w:rsidRPr="00770D36" w:rsidRDefault="00903B60" w:rsidP="00903B60">
      <w:pPr>
        <w:pStyle w:val="ListParagraph"/>
        <w:numPr>
          <w:ilvl w:val="0"/>
          <w:numId w:val="16"/>
        </w:numPr>
        <w:spacing w:after="100" w:afterAutospacing="1" w:line="360" w:lineRule="auto"/>
        <w:ind w:left="426"/>
        <w:jc w:val="both"/>
        <w:rPr>
          <w:rStyle w:val="Strong"/>
          <w:rFonts w:ascii="Times New Roman" w:hAnsi="Times New Roman" w:cs="Times New Roman"/>
          <w:bCs w:val="0"/>
          <w:sz w:val="24"/>
          <w:szCs w:val="24"/>
        </w:rPr>
      </w:pPr>
      <w:r w:rsidRPr="00770D36">
        <w:rPr>
          <w:rStyle w:val="Strong"/>
          <w:rFonts w:ascii="Times New Roman" w:hAnsi="Times New Roman" w:cs="Times New Roman"/>
          <w:sz w:val="24"/>
          <w:szCs w:val="24"/>
        </w:rPr>
        <w:t>Drying Process:</w:t>
      </w:r>
    </w:p>
    <w:p w:rsidR="00903B60" w:rsidRPr="00770D36" w:rsidRDefault="00903B60" w:rsidP="00903B60">
      <w:pPr>
        <w:pStyle w:val="ListParagraph"/>
        <w:numPr>
          <w:ilvl w:val="0"/>
          <w:numId w:val="17"/>
        </w:numPr>
        <w:spacing w:after="100" w:afterAutospacing="1" w:line="360" w:lineRule="auto"/>
        <w:jc w:val="both"/>
        <w:rPr>
          <w:rFonts w:ascii="Times New Roman" w:hAnsi="Times New Roman" w:cs="Times New Roman"/>
          <w:b/>
          <w:sz w:val="24"/>
          <w:szCs w:val="24"/>
        </w:rPr>
      </w:pPr>
      <w:r w:rsidRPr="00770D36">
        <w:rPr>
          <w:rFonts w:ascii="Times New Roman" w:hAnsi="Times New Roman" w:cs="Times New Roman"/>
          <w:sz w:val="24"/>
          <w:szCs w:val="24"/>
        </w:rPr>
        <w:t>The cured specimens will be removed from the water cure and placed in an electric oven.</w:t>
      </w:r>
    </w:p>
    <w:p w:rsidR="00903B60" w:rsidRPr="00770D36" w:rsidRDefault="00903B60" w:rsidP="00903B60">
      <w:pPr>
        <w:pStyle w:val="ListParagraph"/>
        <w:numPr>
          <w:ilvl w:val="0"/>
          <w:numId w:val="17"/>
        </w:numPr>
        <w:spacing w:after="100" w:afterAutospacing="1" w:line="360" w:lineRule="auto"/>
        <w:jc w:val="both"/>
        <w:rPr>
          <w:rFonts w:ascii="Times New Roman" w:hAnsi="Times New Roman" w:cs="Times New Roman"/>
          <w:b/>
          <w:sz w:val="24"/>
          <w:szCs w:val="24"/>
        </w:rPr>
      </w:pPr>
      <w:r w:rsidRPr="00770D36">
        <w:rPr>
          <w:rFonts w:ascii="Times New Roman" w:hAnsi="Times New Roman" w:cs="Times New Roman"/>
          <w:sz w:val="24"/>
          <w:szCs w:val="24"/>
        </w:rPr>
        <w:t>The specimens will be dried at 105°C until a constant mass is reached, as per the ASTM C642 guidelines.</w:t>
      </w:r>
    </w:p>
    <w:p w:rsidR="00903B60" w:rsidRPr="00770D36" w:rsidRDefault="00903B60" w:rsidP="00903B60">
      <w:pPr>
        <w:pStyle w:val="ListParagraph"/>
        <w:numPr>
          <w:ilvl w:val="0"/>
          <w:numId w:val="16"/>
        </w:numPr>
        <w:spacing w:after="100" w:afterAutospacing="1" w:line="360" w:lineRule="auto"/>
        <w:ind w:left="426"/>
        <w:jc w:val="both"/>
        <w:rPr>
          <w:rStyle w:val="Strong"/>
          <w:rFonts w:ascii="Times New Roman" w:hAnsi="Times New Roman" w:cs="Times New Roman"/>
          <w:bCs w:val="0"/>
          <w:sz w:val="24"/>
          <w:szCs w:val="24"/>
        </w:rPr>
      </w:pPr>
      <w:r w:rsidRPr="00770D36">
        <w:rPr>
          <w:rStyle w:val="Strong"/>
          <w:rFonts w:ascii="Times New Roman" w:hAnsi="Times New Roman" w:cs="Times New Roman"/>
          <w:sz w:val="24"/>
          <w:szCs w:val="24"/>
        </w:rPr>
        <w:t>Immersion:</w:t>
      </w:r>
    </w:p>
    <w:p w:rsidR="00903B60" w:rsidRPr="00770D36" w:rsidRDefault="00903B60" w:rsidP="00903B60">
      <w:pPr>
        <w:pStyle w:val="ListParagraph"/>
        <w:numPr>
          <w:ilvl w:val="0"/>
          <w:numId w:val="18"/>
        </w:numPr>
        <w:spacing w:after="100" w:afterAutospacing="1" w:line="360" w:lineRule="auto"/>
        <w:jc w:val="both"/>
        <w:rPr>
          <w:rFonts w:ascii="Times New Roman" w:hAnsi="Times New Roman" w:cs="Times New Roman"/>
          <w:b/>
          <w:sz w:val="24"/>
          <w:szCs w:val="24"/>
        </w:rPr>
      </w:pPr>
      <w:r w:rsidRPr="00770D36">
        <w:rPr>
          <w:rFonts w:ascii="Times New Roman" w:hAnsi="Times New Roman" w:cs="Times New Roman"/>
          <w:sz w:val="24"/>
          <w:szCs w:val="24"/>
        </w:rPr>
        <w:t>The specimens will be cooled to room temperature.</w:t>
      </w:r>
    </w:p>
    <w:p w:rsidR="00903B60" w:rsidRPr="00770D36" w:rsidRDefault="00903B60" w:rsidP="00903B60">
      <w:pPr>
        <w:pStyle w:val="ListParagraph"/>
        <w:numPr>
          <w:ilvl w:val="0"/>
          <w:numId w:val="18"/>
        </w:numPr>
        <w:spacing w:after="100" w:afterAutospacing="1" w:line="360" w:lineRule="auto"/>
        <w:jc w:val="both"/>
        <w:rPr>
          <w:rFonts w:ascii="Times New Roman" w:hAnsi="Times New Roman" w:cs="Times New Roman"/>
          <w:b/>
          <w:sz w:val="24"/>
          <w:szCs w:val="24"/>
        </w:rPr>
      </w:pPr>
      <w:r w:rsidRPr="00770D36">
        <w:rPr>
          <w:rFonts w:ascii="Times New Roman" w:hAnsi="Times New Roman" w:cs="Times New Roman"/>
          <w:sz w:val="24"/>
          <w:szCs w:val="24"/>
        </w:rPr>
        <w:t>After which each specimen will be immersed fully in a water bath for 24 hours.</w:t>
      </w:r>
    </w:p>
    <w:p w:rsidR="00903B60" w:rsidRPr="00770D36" w:rsidRDefault="00903B60" w:rsidP="00903B60">
      <w:pPr>
        <w:pStyle w:val="NormalWeb"/>
        <w:numPr>
          <w:ilvl w:val="0"/>
          <w:numId w:val="16"/>
        </w:numPr>
        <w:ind w:left="426"/>
      </w:pPr>
      <w:r w:rsidRPr="00770D36">
        <w:rPr>
          <w:rStyle w:val="Strong"/>
        </w:rPr>
        <w:t>Weighing and Calculation:</w:t>
      </w:r>
    </w:p>
    <w:p w:rsidR="00903B60" w:rsidRPr="00770D36" w:rsidRDefault="00903B60" w:rsidP="00903B60">
      <w:pPr>
        <w:pStyle w:val="NormalWeb"/>
        <w:numPr>
          <w:ilvl w:val="0"/>
          <w:numId w:val="19"/>
        </w:numPr>
        <w:spacing w:line="360" w:lineRule="auto"/>
        <w:ind w:left="1145"/>
        <w:contextualSpacing/>
      </w:pPr>
      <w:r w:rsidRPr="00770D36">
        <w:t>After immersion, the specimens are removed, and the surfaces will be gently dried with a soft cloth, and weigh using the digital scale.</w:t>
      </w:r>
    </w:p>
    <w:p w:rsidR="00903B60" w:rsidRPr="00770D36" w:rsidRDefault="00903B60" w:rsidP="00903B60">
      <w:pPr>
        <w:pStyle w:val="NormalWeb"/>
        <w:numPr>
          <w:ilvl w:val="0"/>
          <w:numId w:val="19"/>
        </w:numPr>
        <w:spacing w:line="360" w:lineRule="auto"/>
        <w:ind w:left="1145"/>
        <w:contextualSpacing/>
      </w:pPr>
      <w:r w:rsidRPr="00770D36">
        <w:t>The water absorption will be calculated using the formula below;</w:t>
      </w:r>
    </w:p>
    <w:p w:rsidR="00903B60" w:rsidRPr="00770D36" w:rsidRDefault="00903B60" w:rsidP="00903B60">
      <w:pPr>
        <w:pStyle w:val="NormalWeb"/>
        <w:spacing w:line="360" w:lineRule="auto"/>
        <w:ind w:left="1145"/>
        <w:contextualSpacing/>
      </w:pPr>
      <m:oMathPara>
        <m:oMath>
          <m:r>
            <w:rPr>
              <w:rFonts w:ascii="Cambria Math" w:hAnsi="Cambria Math"/>
            </w:rPr>
            <m:t xml:space="preserve">Water Absorption </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(Wet weight-Dry weight</m:t>
              </m:r>
            </m:num>
            <m:den>
              <m:r>
                <w:rPr>
                  <w:rFonts w:ascii="Cambria Math" w:hAnsi="Cambria Math"/>
                </w:rPr>
                <m:t>Dry weight</m:t>
              </m:r>
            </m:den>
          </m:f>
          <m:r>
            <w:rPr>
              <w:rFonts w:ascii="Cambria Math" w:hAnsi="Cambria Math"/>
            </w:rPr>
            <m:t>×100</m:t>
          </m:r>
        </m:oMath>
      </m:oMathPara>
    </w:p>
    <w:p w:rsidR="00903B60" w:rsidRPr="00770D36" w:rsidRDefault="00903B60" w:rsidP="00903B60">
      <w:pPr>
        <w:pStyle w:val="NormalWeb"/>
        <w:numPr>
          <w:ilvl w:val="0"/>
          <w:numId w:val="19"/>
        </w:numPr>
        <w:spacing w:line="360" w:lineRule="auto"/>
        <w:ind w:left="1145"/>
        <w:contextualSpacing/>
      </w:pPr>
      <w:r w:rsidRPr="00770D36">
        <w:t>This percentage indicates the degree of water ingress, which is directly linked to the concrete's porosity and durability.</w:t>
      </w:r>
    </w:p>
    <w:p w:rsidR="00903B60" w:rsidRPr="00770D36" w:rsidRDefault="00903B60" w:rsidP="00903B60">
      <w:pPr>
        <w:pStyle w:val="NormalWeb"/>
        <w:spacing w:line="360" w:lineRule="auto"/>
        <w:contextualSpacing/>
        <w:rPr>
          <w:b/>
        </w:rPr>
      </w:pPr>
      <w:r w:rsidRPr="00770D36">
        <w:rPr>
          <w:b/>
        </w:rPr>
        <w:t>3.5.2 Density Determination</w:t>
      </w:r>
    </w:p>
    <w:p w:rsidR="00903B60" w:rsidRPr="00770D36" w:rsidRDefault="00903B60" w:rsidP="00903B60">
      <w:pPr>
        <w:pStyle w:val="NormalWeb"/>
        <w:spacing w:line="360" w:lineRule="auto"/>
        <w:ind w:firstLine="720"/>
        <w:contextualSpacing/>
        <w:rPr>
          <w:b/>
        </w:rPr>
      </w:pPr>
      <w:r w:rsidRPr="00770D36">
        <w:rPr>
          <w:rStyle w:val="relative"/>
        </w:rPr>
        <w:t xml:space="preserve">The </w:t>
      </w:r>
      <w:r w:rsidRPr="00770D36">
        <w:rPr>
          <w:rStyle w:val="Strong"/>
          <w:b w:val="0"/>
        </w:rPr>
        <w:t>density determination</w:t>
      </w:r>
      <w:r w:rsidRPr="00770D36">
        <w:rPr>
          <w:rStyle w:val="relative"/>
        </w:rPr>
        <w:t xml:space="preserve"> of hardened concrete is a fundamental procedure that provides insights into the material's quality, strength, and durability.</w:t>
      </w:r>
      <w:r w:rsidRPr="00770D36">
        <w:t xml:space="preserve"> </w:t>
      </w:r>
      <w:r w:rsidRPr="00770D36">
        <w:rPr>
          <w:rStyle w:val="relative"/>
        </w:rPr>
        <w:t>A higher density typically indicates a lower porosity, which correlates with enhanced strength and reduced permeability.</w:t>
      </w:r>
      <w:r w:rsidRPr="00770D36">
        <w:t xml:space="preserve"> </w:t>
      </w:r>
      <w:r w:rsidRPr="00770D36">
        <w:rPr>
          <w:rStyle w:val="relative"/>
        </w:rPr>
        <w:t>The standard method for determining the density of hardened concrete is outlined in ASTM C642, titled "Standard Test Method for Density, Absorption, and Voids in Hardened Concrete."</w:t>
      </w:r>
    </w:p>
    <w:p w:rsidR="00903B60" w:rsidRPr="00770D36" w:rsidRDefault="00903B60" w:rsidP="00903B60">
      <w:pPr>
        <w:pStyle w:val="NormalWeb"/>
        <w:spacing w:line="360" w:lineRule="auto"/>
        <w:contextualSpacing/>
        <w:rPr>
          <w:b/>
        </w:rPr>
      </w:pPr>
      <w:r w:rsidRPr="00770D36">
        <w:rPr>
          <w:b/>
        </w:rPr>
        <w:t xml:space="preserve">Materials/Apparatus (Chin &amp; Ng, 2010; Kumar </w:t>
      </w:r>
      <w:r w:rsidRPr="00770D36">
        <w:rPr>
          <w:b/>
          <w:i/>
        </w:rPr>
        <w:t>et al.,</w:t>
      </w:r>
      <w:r w:rsidRPr="00770D36">
        <w:rPr>
          <w:b/>
        </w:rPr>
        <w:t xml:space="preserve"> 2017);</w:t>
      </w:r>
    </w:p>
    <w:p w:rsidR="00903B60" w:rsidRPr="00770D36" w:rsidRDefault="00903B60" w:rsidP="00903B60">
      <w:pPr>
        <w:pStyle w:val="NormalWeb"/>
        <w:numPr>
          <w:ilvl w:val="0"/>
          <w:numId w:val="20"/>
        </w:numPr>
        <w:spacing w:line="360" w:lineRule="auto"/>
        <w:ind w:left="709" w:hanging="357"/>
        <w:contextualSpacing/>
        <w:rPr>
          <w:b/>
        </w:rPr>
      </w:pPr>
      <w:r w:rsidRPr="00770D36">
        <w:rPr>
          <w:rStyle w:val="Strong"/>
        </w:rPr>
        <w:t>Digital Weighing Scale:</w:t>
      </w:r>
      <w:r w:rsidRPr="00770D36">
        <w:t xml:space="preserve"> For accurate mass measurement of the concrete specimens.</w:t>
      </w:r>
    </w:p>
    <w:p w:rsidR="00903B60" w:rsidRPr="00770D36" w:rsidRDefault="00903B60" w:rsidP="00903B60">
      <w:pPr>
        <w:pStyle w:val="NormalWeb"/>
        <w:numPr>
          <w:ilvl w:val="0"/>
          <w:numId w:val="20"/>
        </w:numPr>
        <w:spacing w:line="360" w:lineRule="auto"/>
        <w:ind w:left="709" w:hanging="357"/>
        <w:contextualSpacing/>
        <w:rPr>
          <w:b/>
        </w:rPr>
      </w:pPr>
      <w:r w:rsidRPr="00770D36">
        <w:rPr>
          <w:rStyle w:val="Strong"/>
        </w:rPr>
        <w:t>Calibrated Moulds:</w:t>
      </w:r>
      <w:r w:rsidRPr="00770D36">
        <w:t xml:space="preserve"> Standard cube moulds (100 mm × 100 mm × 100 mm) to ensure consistent specimen dimensions.</w:t>
      </w:r>
    </w:p>
    <w:p w:rsidR="00903B60" w:rsidRPr="00770D36" w:rsidRDefault="00903B60" w:rsidP="00903B60">
      <w:pPr>
        <w:pStyle w:val="NormalWeb"/>
        <w:numPr>
          <w:ilvl w:val="0"/>
          <w:numId w:val="20"/>
        </w:numPr>
        <w:spacing w:line="360" w:lineRule="auto"/>
        <w:ind w:left="709" w:hanging="357"/>
        <w:contextualSpacing/>
        <w:rPr>
          <w:b/>
        </w:rPr>
      </w:pPr>
      <w:r w:rsidRPr="00770D36">
        <w:rPr>
          <w:rStyle w:val="Strong"/>
        </w:rPr>
        <w:t>Measuring Tools:</w:t>
      </w:r>
      <w:r w:rsidRPr="00770D36">
        <w:t xml:space="preserve"> Digital calipers or a measuring tape to verify the dimensions of each specimen.</w:t>
      </w:r>
    </w:p>
    <w:p w:rsidR="00903B60" w:rsidRPr="00770D36" w:rsidRDefault="00903B60" w:rsidP="00903B60">
      <w:pPr>
        <w:pStyle w:val="NormalWeb"/>
        <w:numPr>
          <w:ilvl w:val="0"/>
          <w:numId w:val="20"/>
        </w:numPr>
        <w:spacing w:line="360" w:lineRule="auto"/>
        <w:ind w:left="709" w:hanging="357"/>
        <w:contextualSpacing/>
        <w:rPr>
          <w:b/>
        </w:rPr>
      </w:pPr>
      <w:r w:rsidRPr="00770D36">
        <w:rPr>
          <w:rStyle w:val="Strong"/>
        </w:rPr>
        <w:t>Calculator or Software:</w:t>
      </w:r>
      <w:r w:rsidRPr="00770D36">
        <w:t xml:space="preserve"> For computing the density based on the measured mass and volume.</w:t>
      </w:r>
    </w:p>
    <w:p w:rsidR="00903B60" w:rsidRPr="00770D36" w:rsidRDefault="00903B60" w:rsidP="00903B60">
      <w:pPr>
        <w:pStyle w:val="NormalWeb"/>
        <w:spacing w:line="360" w:lineRule="auto"/>
        <w:contextualSpacing/>
        <w:rPr>
          <w:b/>
        </w:rPr>
      </w:pPr>
      <w:r w:rsidRPr="00770D36">
        <w:rPr>
          <w:b/>
        </w:rPr>
        <w:t xml:space="preserve">Procedures (Chin &amp; Ng, 2010; Kumar </w:t>
      </w:r>
      <w:r w:rsidRPr="00770D36">
        <w:rPr>
          <w:b/>
          <w:i/>
        </w:rPr>
        <w:t>et al.,</w:t>
      </w:r>
      <w:r w:rsidRPr="00770D36">
        <w:rPr>
          <w:b/>
        </w:rPr>
        <w:t xml:space="preserve"> 2017);</w:t>
      </w:r>
    </w:p>
    <w:p w:rsidR="00903B60" w:rsidRPr="00770D36" w:rsidRDefault="00903B60" w:rsidP="00903B60">
      <w:pPr>
        <w:pStyle w:val="NormalWeb"/>
        <w:numPr>
          <w:ilvl w:val="0"/>
          <w:numId w:val="21"/>
        </w:numPr>
        <w:spacing w:line="360" w:lineRule="auto"/>
        <w:contextualSpacing/>
        <w:rPr>
          <w:b/>
        </w:rPr>
      </w:pPr>
      <w:r w:rsidRPr="00770D36">
        <w:rPr>
          <w:rStyle w:val="Strong"/>
        </w:rPr>
        <w:t>Specimen Preparation:</w:t>
      </w:r>
    </w:p>
    <w:p w:rsidR="00903B60" w:rsidRPr="00770D36" w:rsidRDefault="00903B60" w:rsidP="00903B60">
      <w:pPr>
        <w:pStyle w:val="NormalWeb"/>
        <w:numPr>
          <w:ilvl w:val="0"/>
          <w:numId w:val="22"/>
        </w:numPr>
        <w:spacing w:line="360" w:lineRule="auto"/>
        <w:contextualSpacing/>
        <w:rPr>
          <w:b/>
        </w:rPr>
      </w:pPr>
      <w:r w:rsidRPr="00770D36">
        <w:t>The same set of cured specimens from the water absorption test will be used. Having been properly cured under water for the predetermined durations (7, 14, and 28 days).</w:t>
      </w:r>
    </w:p>
    <w:p w:rsidR="00903B60" w:rsidRPr="00770D36" w:rsidRDefault="00903B60" w:rsidP="00903B60">
      <w:pPr>
        <w:pStyle w:val="NormalWeb"/>
        <w:numPr>
          <w:ilvl w:val="0"/>
          <w:numId w:val="21"/>
        </w:numPr>
        <w:spacing w:line="360" w:lineRule="auto"/>
        <w:contextualSpacing/>
      </w:pPr>
      <w:r w:rsidRPr="00770D36">
        <w:rPr>
          <w:rStyle w:val="Strong"/>
        </w:rPr>
        <w:t>Measurement of Mass:</w:t>
      </w:r>
    </w:p>
    <w:p w:rsidR="00903B60" w:rsidRPr="00770D36" w:rsidRDefault="00903B60" w:rsidP="00903B60">
      <w:pPr>
        <w:pStyle w:val="NormalWeb"/>
        <w:numPr>
          <w:ilvl w:val="0"/>
          <w:numId w:val="23"/>
        </w:numPr>
        <w:spacing w:line="360" w:lineRule="auto"/>
        <w:contextualSpacing/>
      </w:pPr>
      <w:r w:rsidRPr="00770D36">
        <w:t>Each specimen will be weighed using the digital scale to record the mass in kilograms.</w:t>
      </w:r>
    </w:p>
    <w:p w:rsidR="00903B60" w:rsidRPr="00770D36" w:rsidRDefault="00903B60" w:rsidP="00903B60">
      <w:pPr>
        <w:pStyle w:val="NormalWeb"/>
        <w:numPr>
          <w:ilvl w:val="0"/>
          <w:numId w:val="21"/>
        </w:numPr>
        <w:spacing w:line="360" w:lineRule="auto"/>
        <w:contextualSpacing/>
      </w:pPr>
      <w:r w:rsidRPr="00770D36">
        <w:rPr>
          <w:rStyle w:val="Strong"/>
        </w:rPr>
        <w:t>Determination of Volume:</w:t>
      </w:r>
    </w:p>
    <w:p w:rsidR="00903B60" w:rsidRPr="00770D36" w:rsidRDefault="00903B60" w:rsidP="00903B60">
      <w:pPr>
        <w:pStyle w:val="NormalWeb"/>
        <w:numPr>
          <w:ilvl w:val="0"/>
          <w:numId w:val="24"/>
        </w:numPr>
        <w:spacing w:line="360" w:lineRule="auto"/>
        <w:contextualSpacing/>
      </w:pPr>
      <w:r w:rsidRPr="00770D36">
        <w:t>Since the specimens are cast in standard cube moulds, their volume can be calculated by cubing the side length.</w:t>
      </w:r>
    </w:p>
    <w:p w:rsidR="00903B60" w:rsidRPr="00770D36" w:rsidRDefault="00903B60" w:rsidP="00903B60">
      <w:pPr>
        <w:pStyle w:val="NormalWeb"/>
        <w:spacing w:line="360" w:lineRule="auto"/>
        <w:ind w:left="1440"/>
        <w:contextualSpacing/>
      </w:pPr>
      <m:oMathPara>
        <m:oMath>
          <m:r>
            <w:rPr>
              <w:rFonts w:ascii="Cambria Math" w:hAnsi="Cambria Math"/>
            </w:rPr>
            <m:t>v=0.15m×0.15m×0.15m=</m:t>
          </m:r>
          <m:sSup>
            <m:sSupPr>
              <m:ctrlPr>
                <w:rPr>
                  <w:rFonts w:ascii="Cambria Math" w:hAnsi="Cambria Math"/>
                  <w:i/>
                </w:rPr>
              </m:ctrlPr>
            </m:sSupPr>
            <m:e>
              <m:r>
                <w:rPr>
                  <w:rFonts w:ascii="Cambria Math" w:hAnsi="Cambria Math"/>
                </w:rPr>
                <m:t>0.0034m</m:t>
              </m:r>
            </m:e>
            <m:sup>
              <m:r>
                <w:rPr>
                  <w:rFonts w:ascii="Cambria Math" w:hAnsi="Cambria Math"/>
                </w:rPr>
                <m:t>3</m:t>
              </m:r>
            </m:sup>
          </m:sSup>
        </m:oMath>
      </m:oMathPara>
    </w:p>
    <w:p w:rsidR="00903B60" w:rsidRPr="00770D36" w:rsidRDefault="00903B60" w:rsidP="00903B60">
      <w:pPr>
        <w:pStyle w:val="NormalWeb"/>
        <w:numPr>
          <w:ilvl w:val="0"/>
          <w:numId w:val="10"/>
        </w:numPr>
        <w:spacing w:line="360" w:lineRule="auto"/>
        <w:contextualSpacing/>
      </w:pPr>
      <w:r w:rsidRPr="00770D36">
        <w:rPr>
          <w:rStyle w:val="Strong"/>
        </w:rPr>
        <w:t>Density Calculation:</w:t>
      </w:r>
    </w:p>
    <w:p w:rsidR="00903B60" w:rsidRPr="00770D36" w:rsidRDefault="00903B60" w:rsidP="00903B60">
      <w:pPr>
        <w:pStyle w:val="NormalWeb"/>
        <w:numPr>
          <w:ilvl w:val="0"/>
          <w:numId w:val="25"/>
        </w:numPr>
        <w:spacing w:line="360" w:lineRule="auto"/>
        <w:contextualSpacing/>
      </w:pPr>
      <w:r w:rsidRPr="00770D36">
        <w:t>The density of each specimen will be calculated using the formula:</w:t>
      </w:r>
    </w:p>
    <w:p w:rsidR="00903B60" w:rsidRPr="00770D36" w:rsidRDefault="00903B60" w:rsidP="00903B60">
      <w:pPr>
        <w:pStyle w:val="NormalWeb"/>
        <w:spacing w:line="360" w:lineRule="auto"/>
        <w:ind w:left="1440"/>
        <w:contextualSpacing/>
      </w:pPr>
      <m:oMathPara>
        <m:oMath>
          <m:r>
            <w:rPr>
              <w:rFonts w:ascii="Cambria Math" w:hAnsi="Cambria Math"/>
            </w:rPr>
            <m:t>Density (</m:t>
          </m:r>
          <m:sSup>
            <m:sSupPr>
              <m:ctrlPr>
                <w:rPr>
                  <w:rFonts w:ascii="Cambria Math" w:hAnsi="Cambria Math"/>
                  <w:i/>
                </w:rPr>
              </m:ctrlPr>
            </m:sSupPr>
            <m:e>
              <m:r>
                <w:rPr>
                  <w:rFonts w:ascii="Cambria Math" w:hAnsi="Cambria Math"/>
                </w:rPr>
                <m:t>kg/m</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mass(kg)</m:t>
              </m:r>
            </m:num>
            <m:den>
              <m:r>
                <w:rPr>
                  <w:rFonts w:ascii="Cambria Math" w:hAnsi="Cambria Math"/>
                </w:rPr>
                <m:t>volume(</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den>
          </m:f>
        </m:oMath>
      </m:oMathPara>
    </w:p>
    <w:p w:rsidR="00903B60" w:rsidRPr="00770D36" w:rsidRDefault="00903B60" w:rsidP="00903B60">
      <w:pPr>
        <w:pStyle w:val="NormalWeb"/>
        <w:numPr>
          <w:ilvl w:val="0"/>
          <w:numId w:val="25"/>
        </w:numPr>
        <w:spacing w:line="360" w:lineRule="auto"/>
        <w:contextualSpacing/>
      </w:pPr>
      <w:r w:rsidRPr="00770D36">
        <w:t>This data provides insights into the effect of PKO on the compactness and structural performance of the foam concrete.</w:t>
      </w:r>
      <w:r w:rsidRPr="00770D36">
        <w:rPr>
          <w:b/>
        </w:rPr>
        <w:t xml:space="preserve"> </w:t>
      </w:r>
    </w:p>
    <w:p w:rsidR="00215819" w:rsidRDefault="00215819">
      <w:bookmarkStart w:id="0" w:name="_GoBack"/>
      <w:bookmarkEnd w:id="0"/>
    </w:p>
    <w:sectPr w:rsidR="00215819" w:rsidSect="009A0717">
      <w:headerReference w:type="default" r:id="rId7"/>
      <w:footerReference w:type="default" r:id="rId8"/>
      <w:pgSz w:w="11909" w:h="16834" w:code="9"/>
      <w:pgMar w:top="1418" w:right="852" w:bottom="1702"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991479"/>
      <w:docPartObj>
        <w:docPartGallery w:val="Page Numbers (Bottom of Page)"/>
        <w:docPartUnique/>
      </w:docPartObj>
    </w:sdtPr>
    <w:sdtEndPr>
      <w:rPr>
        <w:noProof/>
      </w:rPr>
    </w:sdtEndPr>
    <w:sdtContent>
      <w:p w:rsidR="009A0717" w:rsidRDefault="00903B60">
        <w:pPr>
          <w:pStyle w:val="Footer"/>
          <w:jc w:val="center"/>
        </w:pPr>
        <w:r>
          <w:fldChar w:fldCharType="begin"/>
        </w:r>
        <w:r>
          <w:instrText xml:space="preserve"> PAGE   \* M</w:instrText>
        </w:r>
        <w:r>
          <w:instrText xml:space="preserve">ERGEFORMAT </w:instrText>
        </w:r>
        <w:r>
          <w:fldChar w:fldCharType="separate"/>
        </w:r>
        <w:r>
          <w:rPr>
            <w:noProof/>
          </w:rPr>
          <w:t>1</w:t>
        </w:r>
        <w:r>
          <w:rPr>
            <w:noProof/>
          </w:rPr>
          <w:fldChar w:fldCharType="end"/>
        </w:r>
      </w:p>
    </w:sdtContent>
  </w:sdt>
  <w:p w:rsidR="009A0717" w:rsidRDefault="00903B60">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717" w:rsidRDefault="00903B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65AC5"/>
    <w:multiLevelType w:val="hybridMultilevel"/>
    <w:tmpl w:val="1D56BC82"/>
    <w:lvl w:ilvl="0" w:tplc="5E5A05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F0D76"/>
    <w:multiLevelType w:val="hybridMultilevel"/>
    <w:tmpl w:val="5FD03654"/>
    <w:lvl w:ilvl="0" w:tplc="C43E2278">
      <w:start w:val="1"/>
      <w:numFmt w:val="lowerRoman"/>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C606A2"/>
    <w:multiLevelType w:val="hybridMultilevel"/>
    <w:tmpl w:val="CAB4F1FA"/>
    <w:lvl w:ilvl="0" w:tplc="A90A6CE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A1345"/>
    <w:multiLevelType w:val="hybridMultilevel"/>
    <w:tmpl w:val="E7902AE8"/>
    <w:lvl w:ilvl="0" w:tplc="5E5A05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02C11"/>
    <w:multiLevelType w:val="hybridMultilevel"/>
    <w:tmpl w:val="4B6E3B72"/>
    <w:lvl w:ilvl="0" w:tplc="C43E2278">
      <w:start w:val="1"/>
      <w:numFmt w:val="lowerRoman"/>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16675B9"/>
    <w:multiLevelType w:val="hybridMultilevel"/>
    <w:tmpl w:val="AAD076C6"/>
    <w:lvl w:ilvl="0" w:tplc="C42E93EA">
      <w:start w:val="1"/>
      <w:numFmt w:val="lowerRoman"/>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47B8A"/>
    <w:multiLevelType w:val="hybridMultilevel"/>
    <w:tmpl w:val="53D213BC"/>
    <w:lvl w:ilvl="0" w:tplc="5E5A0582">
      <w:start w:val="1"/>
      <w:numFmt w:val="lowerRoman"/>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268446AE"/>
    <w:multiLevelType w:val="hybridMultilevel"/>
    <w:tmpl w:val="BB38CFDC"/>
    <w:lvl w:ilvl="0" w:tplc="C42E93EA">
      <w:start w:val="1"/>
      <w:numFmt w:val="lowerRoman"/>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34E59"/>
    <w:multiLevelType w:val="hybridMultilevel"/>
    <w:tmpl w:val="80B299CE"/>
    <w:lvl w:ilvl="0" w:tplc="0DFCD71A">
      <w:start w:val="1"/>
      <w:numFmt w:val="lowerRoman"/>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FF0D49"/>
    <w:multiLevelType w:val="hybridMultilevel"/>
    <w:tmpl w:val="C7967D24"/>
    <w:lvl w:ilvl="0" w:tplc="5E5A05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316FB5"/>
    <w:multiLevelType w:val="hybridMultilevel"/>
    <w:tmpl w:val="81EC9D90"/>
    <w:lvl w:ilvl="0" w:tplc="C43E2278">
      <w:start w:val="1"/>
      <w:numFmt w:val="lowerRoman"/>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4D22AE0"/>
    <w:multiLevelType w:val="hybridMultilevel"/>
    <w:tmpl w:val="0F406896"/>
    <w:lvl w:ilvl="0" w:tplc="5E5A05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82E62"/>
    <w:multiLevelType w:val="hybridMultilevel"/>
    <w:tmpl w:val="D2047B5A"/>
    <w:lvl w:ilvl="0" w:tplc="C43E2278">
      <w:start w:val="1"/>
      <w:numFmt w:val="lowerRoman"/>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3F23688B"/>
    <w:multiLevelType w:val="hybridMultilevel"/>
    <w:tmpl w:val="B54A80D6"/>
    <w:lvl w:ilvl="0" w:tplc="5942AC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C30752"/>
    <w:multiLevelType w:val="hybridMultilevel"/>
    <w:tmpl w:val="DA2A2ED4"/>
    <w:lvl w:ilvl="0" w:tplc="5E5A05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E50AE"/>
    <w:multiLevelType w:val="hybridMultilevel"/>
    <w:tmpl w:val="E7902AE8"/>
    <w:lvl w:ilvl="0" w:tplc="5E5A05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D84CE2"/>
    <w:multiLevelType w:val="hybridMultilevel"/>
    <w:tmpl w:val="8C7276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BAB00FE"/>
    <w:multiLevelType w:val="hybridMultilevel"/>
    <w:tmpl w:val="D2047B5A"/>
    <w:lvl w:ilvl="0" w:tplc="C43E2278">
      <w:start w:val="1"/>
      <w:numFmt w:val="lowerRoman"/>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5D525913"/>
    <w:multiLevelType w:val="hybridMultilevel"/>
    <w:tmpl w:val="B0D8FBFC"/>
    <w:lvl w:ilvl="0" w:tplc="82F21C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5129E"/>
    <w:multiLevelType w:val="hybridMultilevel"/>
    <w:tmpl w:val="923C98CE"/>
    <w:lvl w:ilvl="0" w:tplc="BEC4DE1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A02E9"/>
    <w:multiLevelType w:val="hybridMultilevel"/>
    <w:tmpl w:val="95243584"/>
    <w:lvl w:ilvl="0" w:tplc="5E5A0582">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F864533"/>
    <w:multiLevelType w:val="hybridMultilevel"/>
    <w:tmpl w:val="FEEE8D84"/>
    <w:lvl w:ilvl="0" w:tplc="5E5A05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AF17E0"/>
    <w:multiLevelType w:val="hybridMultilevel"/>
    <w:tmpl w:val="487E8840"/>
    <w:lvl w:ilvl="0" w:tplc="5E5A0582">
      <w:start w:val="1"/>
      <w:numFmt w:val="lowerRoman"/>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72027FA1"/>
    <w:multiLevelType w:val="hybridMultilevel"/>
    <w:tmpl w:val="0F406896"/>
    <w:lvl w:ilvl="0" w:tplc="5E5A05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642310"/>
    <w:multiLevelType w:val="hybridMultilevel"/>
    <w:tmpl w:val="5FD03654"/>
    <w:lvl w:ilvl="0" w:tplc="C43E2278">
      <w:start w:val="1"/>
      <w:numFmt w:val="lowerRoman"/>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14"/>
  </w:num>
  <w:num w:numId="3">
    <w:abstractNumId w:val="11"/>
  </w:num>
  <w:num w:numId="4">
    <w:abstractNumId w:val="23"/>
  </w:num>
  <w:num w:numId="5">
    <w:abstractNumId w:val="7"/>
  </w:num>
  <w:num w:numId="6">
    <w:abstractNumId w:val="5"/>
  </w:num>
  <w:num w:numId="7">
    <w:abstractNumId w:val="9"/>
  </w:num>
  <w:num w:numId="8">
    <w:abstractNumId w:val="8"/>
  </w:num>
  <w:num w:numId="9">
    <w:abstractNumId w:val="16"/>
  </w:num>
  <w:num w:numId="10">
    <w:abstractNumId w:val="19"/>
  </w:num>
  <w:num w:numId="11">
    <w:abstractNumId w:val="20"/>
  </w:num>
  <w:num w:numId="12">
    <w:abstractNumId w:val="3"/>
  </w:num>
  <w:num w:numId="13">
    <w:abstractNumId w:val="15"/>
  </w:num>
  <w:num w:numId="14">
    <w:abstractNumId w:val="21"/>
  </w:num>
  <w:num w:numId="15">
    <w:abstractNumId w:val="0"/>
  </w:num>
  <w:num w:numId="16">
    <w:abstractNumId w:val="18"/>
  </w:num>
  <w:num w:numId="17">
    <w:abstractNumId w:val="6"/>
  </w:num>
  <w:num w:numId="18">
    <w:abstractNumId w:val="22"/>
  </w:num>
  <w:num w:numId="19">
    <w:abstractNumId w:val="12"/>
  </w:num>
  <w:num w:numId="20">
    <w:abstractNumId w:val="17"/>
  </w:num>
  <w:num w:numId="21">
    <w:abstractNumId w:val="2"/>
  </w:num>
  <w:num w:numId="22">
    <w:abstractNumId w:val="10"/>
  </w:num>
  <w:num w:numId="23">
    <w:abstractNumId w:val="4"/>
  </w:num>
  <w:num w:numId="24">
    <w:abstractNumId w:val="2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60"/>
    <w:rsid w:val="00215819"/>
    <w:rsid w:val="006246E2"/>
    <w:rsid w:val="00903B60"/>
    <w:rsid w:val="00D62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681D28-7F2A-47D7-8FF3-C005EC6B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B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B60"/>
    <w:pPr>
      <w:ind w:left="720"/>
      <w:contextualSpacing/>
    </w:pPr>
  </w:style>
  <w:style w:type="paragraph" w:styleId="Footer">
    <w:name w:val="footer"/>
    <w:basedOn w:val="Normal"/>
    <w:link w:val="FooterChar"/>
    <w:uiPriority w:val="99"/>
    <w:unhideWhenUsed/>
    <w:rsid w:val="00903B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B60"/>
  </w:style>
  <w:style w:type="paragraph" w:styleId="NormalWeb">
    <w:name w:val="Normal (Web)"/>
    <w:basedOn w:val="Normal"/>
    <w:uiPriority w:val="99"/>
    <w:unhideWhenUsed/>
    <w:rsid w:val="00903B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3B60"/>
    <w:rPr>
      <w:b/>
      <w:bCs/>
    </w:rPr>
  </w:style>
  <w:style w:type="paragraph" w:styleId="Header">
    <w:name w:val="header"/>
    <w:basedOn w:val="Normal"/>
    <w:link w:val="HeaderChar"/>
    <w:uiPriority w:val="99"/>
    <w:unhideWhenUsed/>
    <w:rsid w:val="00903B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B60"/>
  </w:style>
  <w:style w:type="character" w:customStyle="1" w:styleId="relative">
    <w:name w:val="relative"/>
    <w:basedOn w:val="DefaultParagraphFont"/>
    <w:rsid w:val="00903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2612</Words>
  <Characters>14890</Characters>
  <Application>Microsoft Office Word</Application>
  <DocSecurity>0</DocSecurity>
  <Lines>124</Lines>
  <Paragraphs>34</Paragraphs>
  <ScaleCrop>false</ScaleCrop>
  <Company/>
  <LinksUpToDate>false</LinksUpToDate>
  <CharactersWithSpaces>17468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Horlamiidaey</dc:creator>
  <cp:keywords/>
  <dc:description/>
  <cp:lastModifiedBy>Horlamiidaey</cp:lastModifiedBy>
  <cp:revision>1</cp:revision>
  <dcterms:created xsi:type="dcterms:W3CDTF">2025-04-24T11:22:00Z</dcterms:created>
  <dcterms:modified xsi:type="dcterms:W3CDTF">2025-04-24T11:23:00Z</dcterms:modified>
</cp:coreProperties>
</file>