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48914">
      <w:pPr>
        <w:jc w:val="center"/>
        <w:rPr>
          <w:rFonts w:ascii="Times New Roman" w:hAnsi="Times New Roman" w:cs="Times New Roman"/>
          <w:b/>
          <w:sz w:val="24"/>
          <w:szCs w:val="24"/>
        </w:rPr>
      </w:pPr>
      <w:r>
        <w:drawing>
          <wp:inline distT="0" distB="0" distL="0" distR="0">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1EB48915">
      <w:pPr>
        <w:jc w:val="center"/>
        <w:rPr>
          <w:rFonts w:ascii="Times New Roman" w:hAnsi="Times New Roman" w:cs="Times New Roman"/>
          <w:b/>
          <w:sz w:val="24"/>
          <w:szCs w:val="24"/>
        </w:rPr>
      </w:pPr>
      <w:r>
        <w:rPr>
          <w:rFonts w:ascii="Times New Roman" w:hAnsi="Times New Roman" w:cs="Times New Roman"/>
          <w:b/>
          <w:sz w:val="24"/>
          <w:szCs w:val="24"/>
        </w:rPr>
        <w:t>A</w:t>
      </w:r>
    </w:p>
    <w:p w14:paraId="1EB48916">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1EB48917">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bookmarkStart w:id="1" w:name="_GoBack"/>
      <w:bookmarkEnd w:id="1"/>
      <w:r>
        <w:rPr>
          <w:rFonts w:ascii="Times New Roman" w:hAnsi="Times New Roman" w:cs="Times New Roman"/>
          <w:b/>
          <w:sz w:val="24"/>
          <w:szCs w:val="24"/>
        </w:rPr>
        <w:t>)</w:t>
      </w:r>
    </w:p>
    <w:p w14:paraId="26FB96B4">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7E955694">
      <w:pPr>
        <w:jc w:val="center"/>
        <w:rPr>
          <w:rFonts w:ascii="SimSun" w:hAnsi="SimSun" w:eastAsia="SimSun" w:cs="SimSun"/>
          <w:sz w:val="24"/>
          <w:szCs w:val="24"/>
        </w:rPr>
      </w:pPr>
    </w:p>
    <w:p w14:paraId="6AB2AAED">
      <w:pPr>
        <w:jc w:val="center"/>
        <w:rPr>
          <w:rFonts w:hint="default" w:ascii="Times New Roman" w:hAnsi="Times New Roman" w:cs="Times New Roman"/>
          <w:sz w:val="24"/>
          <w:szCs w:val="24"/>
          <w:lang w:val="en-US"/>
        </w:rPr>
      </w:pPr>
      <w:r>
        <w:rPr>
          <w:rFonts w:ascii="SimSun" w:hAnsi="SimSun" w:eastAsia="SimSun" w:cs="SimSun"/>
          <w:sz w:val="24"/>
          <w:szCs w:val="24"/>
        </w:rPr>
        <w:drawing>
          <wp:inline distT="0" distB="0" distL="114300" distR="114300">
            <wp:extent cx="1740535" cy="1409700"/>
            <wp:effectExtent l="0" t="0" r="12065" b="0"/>
            <wp:docPr id="5"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G_256"/>
                    <pic:cNvPicPr>
                      <a:picLocks noChangeAspect="1"/>
                    </pic:cNvPicPr>
                  </pic:nvPicPr>
                  <pic:blipFill>
                    <a:blip r:embed="rId11"/>
                    <a:srcRect l="15419" r="14772" b="27688"/>
                    <a:stretch>
                      <a:fillRect/>
                    </a:stretch>
                  </pic:blipFill>
                  <pic:spPr>
                    <a:xfrm>
                      <a:off x="0" y="0"/>
                      <a:ext cx="1740535" cy="1409700"/>
                    </a:xfrm>
                    <a:prstGeom prst="rect">
                      <a:avLst/>
                    </a:prstGeom>
                    <a:noFill/>
                    <a:ln w="9525">
                      <a:noFill/>
                    </a:ln>
                  </pic:spPr>
                </pic:pic>
              </a:graphicData>
            </a:graphic>
          </wp:inline>
        </w:drawing>
      </w:r>
    </w:p>
    <w:p w14:paraId="76051977">
      <w:pPr>
        <w:keepNext w:val="0"/>
        <w:keepLines w:val="0"/>
        <w:widowControl/>
        <w:suppressLineNumbers w:val="0"/>
        <w:spacing w:before="0" w:beforeAutospacing="1" w:after="160" w:afterAutospacing="0" w:line="256" w:lineRule="auto"/>
        <w:ind w:left="0" w:right="0"/>
        <w:jc w:val="center"/>
        <w:rPr>
          <w:rFonts w:hint="default" w:ascii="Times New Roman" w:hAnsi="Times New Roman"/>
          <w:b/>
          <w:bCs/>
          <w:sz w:val="24"/>
          <w:szCs w:val="24"/>
        </w:rPr>
      </w:pPr>
      <w:r>
        <w:rPr>
          <w:rFonts w:hint="default" w:ascii="Times New Roman" w:hAnsi="Times New Roman"/>
          <w:b/>
          <w:bCs/>
          <w:sz w:val="24"/>
          <w:szCs w:val="24"/>
        </w:rPr>
        <w:t>ILORIN SOUTH LOCAL GOVERNMENT</w:t>
      </w:r>
    </w:p>
    <w:p w14:paraId="29228144">
      <w:pPr>
        <w:keepNext w:val="0"/>
        <w:keepLines w:val="0"/>
        <w:widowControl/>
        <w:suppressLineNumbers w:val="0"/>
        <w:spacing w:before="0" w:beforeAutospacing="1" w:after="160" w:afterAutospacing="0" w:line="256" w:lineRule="auto"/>
        <w:ind w:left="0" w:right="0"/>
        <w:jc w:val="center"/>
        <w:rPr>
          <w:rFonts w:hint="default" w:ascii="Times New Roman" w:hAnsi="Times New Roman" w:eastAsia="SimSun" w:cs="Times New Roman"/>
          <w:b/>
          <w:bCs/>
          <w:sz w:val="15"/>
          <w:szCs w:val="15"/>
          <w:lang w:val="en-US"/>
        </w:rPr>
      </w:pPr>
      <w:r>
        <w:rPr>
          <w:rFonts w:hint="default" w:ascii="Times New Roman" w:hAnsi="Times New Roman" w:eastAsia="SimSun" w:cs="Times New Roman"/>
          <w:b/>
          <w:bCs/>
          <w:i w:val="0"/>
          <w:iCs w:val="0"/>
          <w:color w:val="1F1F1F"/>
          <w:spacing w:val="0"/>
          <w:sz w:val="24"/>
          <w:szCs w:val="24"/>
          <w:shd w:val="clear" w:fill="FFFFFF"/>
        </w:rPr>
        <w:t>FHX7+94J, GAMBARI RD, OKO ERIN 240101, KWARA</w:t>
      </w:r>
      <w:r>
        <w:rPr>
          <w:rFonts w:hint="default" w:ascii="Times New Roman" w:hAnsi="Times New Roman" w:eastAsia="SimSun" w:cs="Times New Roman"/>
          <w:b/>
          <w:bCs/>
          <w:i w:val="0"/>
          <w:iCs w:val="0"/>
          <w:color w:val="1F1F1F"/>
          <w:spacing w:val="0"/>
          <w:sz w:val="24"/>
          <w:szCs w:val="24"/>
          <w:shd w:val="clear" w:fill="FFFFFF"/>
          <w:lang w:val="en-US"/>
        </w:rPr>
        <w:t xml:space="preserve"> STATE</w:t>
      </w:r>
    </w:p>
    <w:p w14:paraId="23CA7138">
      <w:pPr>
        <w:jc w:val="center"/>
        <w:rPr>
          <w:rFonts w:hint="default" w:ascii="Arial Black" w:hAnsi="Arial Black"/>
          <w:b/>
          <w:sz w:val="34"/>
          <w:szCs w:val="34"/>
          <w:lang w:val="en-US"/>
        </w:rPr>
      </w:pPr>
      <w:r>
        <w:rPr>
          <w:rFonts w:hint="default" w:ascii="Arial Black" w:hAnsi="Arial Black"/>
          <w:b/>
          <w:sz w:val="34"/>
          <w:szCs w:val="34"/>
          <w:lang w:val="en-US"/>
        </w:rPr>
        <w:t>OLAWALE ISMAILA ISHOLA</w:t>
      </w:r>
    </w:p>
    <w:p w14:paraId="0BAD164B">
      <w:pPr>
        <w:jc w:val="center"/>
        <w:rPr>
          <w:rFonts w:hint="default" w:ascii="Arial Black" w:hAnsi="Arial Black"/>
          <w:b/>
          <w:sz w:val="34"/>
          <w:szCs w:val="34"/>
          <w:lang w:val="en-US"/>
        </w:rPr>
      </w:pPr>
      <w:r>
        <w:rPr>
          <w:rFonts w:hint="default" w:ascii="Arial Black" w:hAnsi="Arial Black"/>
          <w:b/>
          <w:sz w:val="34"/>
          <w:szCs w:val="34"/>
          <w:lang w:val="en-US"/>
        </w:rPr>
        <w:t>ND/23/ACC/PT/0156</w:t>
      </w:r>
    </w:p>
    <w:p w14:paraId="1EB48920">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1EB48921">
      <w:pPr>
        <w:ind w:firstLine="480" w:firstLineChars="200"/>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Pr>
          <w:rFonts w:hint="default" w:ascii="Times New Roman" w:hAnsi="Times New Roman" w:cs="Times New Roman"/>
          <w:b/>
          <w:sz w:val="24"/>
          <w:szCs w:val="24"/>
          <w:lang w:val="en-US"/>
        </w:rPr>
        <w:t>ACCOUNTANCY</w:t>
      </w:r>
      <w:r>
        <w:rPr>
          <w:rFonts w:ascii="Times New Roman" w:hAnsi="Times New Roman" w:cs="Times New Roman"/>
          <w:b/>
          <w:sz w:val="24"/>
          <w:szCs w:val="24"/>
        </w:rPr>
        <w:t xml:space="preserve"> </w:t>
      </w:r>
    </w:p>
    <w:p w14:paraId="1EB48922">
      <w:pPr>
        <w:ind w:firstLine="480" w:firstLineChars="200"/>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1EB48924">
      <w:pPr>
        <w:ind w:firstLine="480" w:firstLineChars="200"/>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EB48925">
      <w:pPr>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 FOR THE AWARD OF ORDI</w:t>
      </w:r>
      <w:r>
        <w:rPr>
          <w:rFonts w:hint="default" w:ascii="Times New Roman" w:hAnsi="Times New Roman" w:cs="Times New Roman"/>
          <w:b/>
          <w:sz w:val="24"/>
          <w:szCs w:val="24"/>
          <w:lang w:val="en-US"/>
        </w:rPr>
        <w:t>N</w:t>
      </w:r>
      <w:r>
        <w:rPr>
          <w:rFonts w:ascii="Times New Roman" w:hAnsi="Times New Roman" w:cs="Times New Roman"/>
          <w:b/>
          <w:sz w:val="24"/>
          <w:szCs w:val="24"/>
        </w:rPr>
        <w:t xml:space="preserve">ARY NATIONAL DIPLOMA (OND) IN </w:t>
      </w:r>
      <w:r>
        <w:rPr>
          <w:rFonts w:hint="default" w:ascii="Times New Roman" w:hAnsi="Times New Roman" w:cs="Times New Roman"/>
          <w:b/>
          <w:sz w:val="24"/>
          <w:szCs w:val="24"/>
          <w:lang w:val="en-US"/>
        </w:rPr>
        <w:t>ACCOUNTANCY</w:t>
      </w:r>
      <w:r>
        <w:rPr>
          <w:rFonts w:ascii="Times New Roman" w:hAnsi="Times New Roman" w:cs="Times New Roman"/>
          <w:b/>
          <w:sz w:val="24"/>
          <w:szCs w:val="24"/>
        </w:rPr>
        <w:t xml:space="preserve">. </w:t>
      </w:r>
    </w:p>
    <w:p w14:paraId="1EB48926">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1EB4892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1EB48928">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EB48929">
      <w:pPr>
        <w:rPr>
          <w:rFonts w:ascii="Times New Roman" w:hAnsi="Times New Roman" w:cs="Times New Roman"/>
          <w:b/>
          <w:sz w:val="24"/>
          <w:szCs w:val="24"/>
        </w:rPr>
      </w:pPr>
      <w:r>
        <w:rPr>
          <w:rFonts w:ascii="Times New Roman" w:hAnsi="Times New Roman" w:cs="Times New Roman"/>
          <w:b/>
          <w:sz w:val="24"/>
          <w:szCs w:val="24"/>
        </w:rPr>
        <w:br w:type="page"/>
      </w:r>
    </w:p>
    <w:p w14:paraId="1EB4892A">
      <w:pPr>
        <w:rPr>
          <w:rFonts w:ascii="Times New Roman" w:hAnsi="Times New Roman" w:cs="Times New Roman"/>
          <w:b/>
          <w:sz w:val="24"/>
          <w:szCs w:val="24"/>
        </w:rPr>
      </w:pPr>
    </w:p>
    <w:p w14:paraId="1EB4892B">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1EB4892C">
      <w:pPr>
        <w:rPr>
          <w:rFonts w:ascii="Times New Roman" w:hAnsi="Times New Roman" w:cs="Times New Roman"/>
          <w:bCs/>
          <w:sz w:val="24"/>
          <w:szCs w:val="24"/>
        </w:rPr>
      </w:pPr>
      <w:r>
        <w:rPr>
          <w:rFonts w:ascii="Times New Roman" w:hAnsi="Times New Roman" w:cs="Times New Roman"/>
          <w:bCs/>
          <w:sz w:val="24"/>
          <w:szCs w:val="24"/>
        </w:rPr>
        <w:t>I thank God Almighty all glory, honour and adoration for mercy received during the course of my study and when undergoing my Industrial Training.</w:t>
      </w:r>
    </w:p>
    <w:p w14:paraId="1EB4892D">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1EB4892E">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1EB4892F">
      <w:pPr>
        <w:rPr>
          <w:rFonts w:ascii="Times New Roman" w:hAnsi="Times New Roman" w:cs="Times New Roman"/>
          <w:bCs/>
          <w:sz w:val="24"/>
          <w:szCs w:val="24"/>
        </w:rPr>
      </w:pPr>
    </w:p>
    <w:p w14:paraId="1EB48930">
      <w:pPr>
        <w:jc w:val="center"/>
        <w:rPr>
          <w:rFonts w:ascii="Times New Roman" w:hAnsi="Times New Roman" w:cs="Times New Roman"/>
          <w:b/>
          <w:sz w:val="24"/>
          <w:szCs w:val="24"/>
        </w:rPr>
      </w:pPr>
    </w:p>
    <w:p w14:paraId="1EB48931">
      <w:pPr>
        <w:jc w:val="center"/>
        <w:rPr>
          <w:rFonts w:ascii="Times New Roman" w:hAnsi="Times New Roman" w:cs="Times New Roman"/>
          <w:b/>
          <w:sz w:val="24"/>
          <w:szCs w:val="24"/>
        </w:rPr>
      </w:pPr>
    </w:p>
    <w:p w14:paraId="1EB48932">
      <w:pPr>
        <w:jc w:val="center"/>
        <w:rPr>
          <w:rFonts w:ascii="Times New Roman" w:hAnsi="Times New Roman" w:cs="Times New Roman"/>
          <w:b/>
          <w:sz w:val="24"/>
          <w:szCs w:val="24"/>
        </w:rPr>
      </w:pPr>
    </w:p>
    <w:p w14:paraId="1EB48933">
      <w:pPr>
        <w:jc w:val="center"/>
        <w:rPr>
          <w:rFonts w:ascii="Times New Roman" w:hAnsi="Times New Roman" w:cs="Times New Roman"/>
          <w:b/>
          <w:sz w:val="24"/>
          <w:szCs w:val="24"/>
        </w:rPr>
      </w:pPr>
    </w:p>
    <w:p w14:paraId="1EB48934">
      <w:pPr>
        <w:jc w:val="center"/>
        <w:rPr>
          <w:rFonts w:ascii="Times New Roman" w:hAnsi="Times New Roman" w:cs="Times New Roman"/>
          <w:b/>
          <w:sz w:val="24"/>
          <w:szCs w:val="24"/>
        </w:rPr>
      </w:pPr>
    </w:p>
    <w:p w14:paraId="1EB48935">
      <w:pPr>
        <w:jc w:val="center"/>
        <w:rPr>
          <w:rFonts w:ascii="Times New Roman" w:hAnsi="Times New Roman" w:cs="Times New Roman"/>
          <w:b/>
          <w:sz w:val="24"/>
          <w:szCs w:val="24"/>
        </w:rPr>
      </w:pPr>
    </w:p>
    <w:p w14:paraId="1EB48936">
      <w:pPr>
        <w:jc w:val="center"/>
        <w:rPr>
          <w:rFonts w:ascii="Times New Roman" w:hAnsi="Times New Roman" w:cs="Times New Roman"/>
          <w:b/>
          <w:sz w:val="24"/>
          <w:szCs w:val="24"/>
        </w:rPr>
      </w:pPr>
    </w:p>
    <w:p w14:paraId="1EB48937">
      <w:pPr>
        <w:jc w:val="center"/>
        <w:rPr>
          <w:rFonts w:ascii="Times New Roman" w:hAnsi="Times New Roman" w:cs="Times New Roman"/>
          <w:b/>
          <w:sz w:val="24"/>
          <w:szCs w:val="24"/>
        </w:rPr>
      </w:pPr>
    </w:p>
    <w:p w14:paraId="1EB48938">
      <w:pPr>
        <w:jc w:val="center"/>
        <w:rPr>
          <w:rFonts w:ascii="Times New Roman" w:hAnsi="Times New Roman" w:cs="Times New Roman"/>
          <w:b/>
          <w:sz w:val="24"/>
          <w:szCs w:val="24"/>
        </w:rPr>
      </w:pPr>
    </w:p>
    <w:p w14:paraId="1EB48939">
      <w:pPr>
        <w:jc w:val="center"/>
        <w:rPr>
          <w:rFonts w:ascii="Times New Roman" w:hAnsi="Times New Roman" w:cs="Times New Roman"/>
          <w:b/>
          <w:sz w:val="24"/>
          <w:szCs w:val="24"/>
        </w:rPr>
      </w:pPr>
    </w:p>
    <w:p w14:paraId="1EB4893A">
      <w:pPr>
        <w:jc w:val="center"/>
        <w:rPr>
          <w:rFonts w:ascii="Times New Roman" w:hAnsi="Times New Roman" w:cs="Times New Roman"/>
          <w:b/>
          <w:sz w:val="24"/>
          <w:szCs w:val="24"/>
        </w:rPr>
      </w:pPr>
    </w:p>
    <w:p w14:paraId="1EB4893B">
      <w:pPr>
        <w:jc w:val="center"/>
        <w:rPr>
          <w:rFonts w:ascii="Times New Roman" w:hAnsi="Times New Roman" w:cs="Times New Roman"/>
          <w:b/>
          <w:sz w:val="24"/>
          <w:szCs w:val="24"/>
        </w:rPr>
      </w:pPr>
    </w:p>
    <w:p w14:paraId="1EB4893C">
      <w:pPr>
        <w:jc w:val="center"/>
        <w:rPr>
          <w:rFonts w:ascii="Times New Roman" w:hAnsi="Times New Roman" w:cs="Times New Roman"/>
          <w:b/>
          <w:sz w:val="24"/>
          <w:szCs w:val="24"/>
        </w:rPr>
      </w:pPr>
    </w:p>
    <w:p w14:paraId="1EB4893D">
      <w:pPr>
        <w:jc w:val="center"/>
        <w:rPr>
          <w:rFonts w:ascii="Times New Roman" w:hAnsi="Times New Roman" w:cs="Times New Roman"/>
          <w:b/>
          <w:sz w:val="24"/>
          <w:szCs w:val="24"/>
        </w:rPr>
      </w:pPr>
    </w:p>
    <w:p w14:paraId="1EB4893E">
      <w:pPr>
        <w:jc w:val="center"/>
        <w:rPr>
          <w:rFonts w:ascii="Times New Roman" w:hAnsi="Times New Roman" w:cs="Times New Roman"/>
          <w:b/>
          <w:sz w:val="24"/>
          <w:szCs w:val="24"/>
        </w:rPr>
      </w:pPr>
    </w:p>
    <w:p w14:paraId="1EB4893F">
      <w:pPr>
        <w:jc w:val="center"/>
        <w:rPr>
          <w:rFonts w:ascii="Times New Roman" w:hAnsi="Times New Roman" w:cs="Times New Roman"/>
          <w:b/>
          <w:sz w:val="24"/>
          <w:szCs w:val="24"/>
        </w:rPr>
      </w:pPr>
    </w:p>
    <w:p w14:paraId="1EB48940">
      <w:pPr>
        <w:jc w:val="center"/>
        <w:rPr>
          <w:rFonts w:ascii="Times New Roman" w:hAnsi="Times New Roman" w:cs="Times New Roman"/>
          <w:b/>
          <w:sz w:val="24"/>
          <w:szCs w:val="24"/>
        </w:rPr>
      </w:pPr>
    </w:p>
    <w:p w14:paraId="1EB48941">
      <w:pPr>
        <w:jc w:val="center"/>
        <w:rPr>
          <w:rFonts w:ascii="Times New Roman" w:hAnsi="Times New Roman" w:cs="Times New Roman"/>
          <w:b/>
          <w:sz w:val="24"/>
          <w:szCs w:val="24"/>
        </w:rPr>
      </w:pPr>
    </w:p>
    <w:p w14:paraId="1EB48942">
      <w:pPr>
        <w:jc w:val="center"/>
        <w:rPr>
          <w:rFonts w:ascii="Times New Roman" w:hAnsi="Times New Roman" w:cs="Times New Roman"/>
          <w:b/>
          <w:sz w:val="24"/>
          <w:szCs w:val="24"/>
        </w:rPr>
      </w:pPr>
    </w:p>
    <w:p w14:paraId="1EB48945">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7AF2EA27">
      <w:pPr>
        <w:keepNext w:val="0"/>
        <w:keepLines w:val="0"/>
        <w:widowControl/>
        <w:suppressLineNumbers w:val="0"/>
        <w:spacing w:before="0" w:beforeAutospacing="1" w:after="160" w:afterAutospacing="0" w:line="256" w:lineRule="auto"/>
        <w:ind w:left="0" w:right="0"/>
        <w:jc w:val="both"/>
        <w:rPr>
          <w:rFonts w:hint="default" w:ascii="Times New Roman" w:hAnsi="Times New Roman" w:eastAsia="Wingdings"/>
          <w:b/>
          <w:bCs/>
          <w:sz w:val="21"/>
          <w:szCs w:val="21"/>
          <w:lang w:val="en-US"/>
        </w:rPr>
      </w:pPr>
      <w:r>
        <w:rPr>
          <w:rFonts w:ascii="Times New Roman" w:hAnsi="Times New Roman" w:cs="Times New Roman"/>
          <w:sz w:val="24"/>
          <w:szCs w:val="24"/>
        </w:rPr>
        <w:t>This report was compiled from the activities carried out and experience gained during my 1</w:t>
      </w:r>
      <w:r>
        <w:rPr>
          <w:rFonts w:hint="default" w:ascii="Times New Roman" w:hAnsi="Times New Roman" w:cs="Times New Roman"/>
          <w:sz w:val="24"/>
          <w:szCs w:val="24"/>
          <w:lang w:val="en-US"/>
        </w:rPr>
        <w:t>6</w:t>
      </w:r>
      <w:r>
        <w:rPr>
          <w:rFonts w:ascii="Times New Roman" w:hAnsi="Times New Roman" w:cs="Times New Roman"/>
          <w:sz w:val="24"/>
          <w:szCs w:val="24"/>
        </w:rPr>
        <w:t xml:space="preserve"> weeks industrial training undertaken at </w:t>
      </w:r>
      <w:r>
        <w:rPr>
          <w:rFonts w:hint="default" w:ascii="Times New Roman" w:hAnsi="Times New Roman"/>
          <w:b/>
          <w:bCs/>
          <w:sz w:val="24"/>
          <w:szCs w:val="24"/>
        </w:rPr>
        <w:t>ILORIN SOUTH LOCAL GOVERNMENT</w:t>
      </w:r>
      <w:r>
        <w:rPr>
          <w:rFonts w:hint="default" w:ascii="Times New Roman" w:hAnsi="Times New Roman"/>
          <w:b/>
          <w:bCs/>
          <w:sz w:val="24"/>
          <w:szCs w:val="24"/>
          <w:lang w:val="en-US"/>
        </w:rPr>
        <w:t>.</w:t>
      </w:r>
    </w:p>
    <w:p w14:paraId="1EB48947">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EB48948">
      <w:pPr>
        <w:rPr>
          <w:rFonts w:ascii="Times New Roman" w:hAnsi="Times New Roman" w:cs="Times New Roman"/>
          <w:b/>
          <w:bCs/>
          <w:sz w:val="24"/>
          <w:szCs w:val="24"/>
        </w:rPr>
      </w:pPr>
      <w:r>
        <w:rPr>
          <w:rFonts w:ascii="Times New Roman" w:hAnsi="Times New Roman" w:cs="Times New Roman"/>
          <w:b/>
          <w:bCs/>
          <w:sz w:val="24"/>
          <w:szCs w:val="24"/>
        </w:rPr>
        <w:br w:type="page"/>
      </w:r>
    </w:p>
    <w:p w14:paraId="1EB48949">
      <w:pPr>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1EB4894A">
      <w:pPr>
        <w:rPr>
          <w:rFonts w:ascii="Times New Roman" w:hAnsi="Times New Roman" w:cs="Times New Roman"/>
          <w:b/>
          <w:bCs/>
          <w:sz w:val="24"/>
          <w:szCs w:val="24"/>
        </w:rPr>
      </w:pPr>
      <w:r>
        <w:rPr>
          <w:rFonts w:ascii="Times New Roman" w:hAnsi="Times New Roman" w:cs="Times New Roman"/>
          <w:b/>
          <w:bCs/>
          <w:sz w:val="24"/>
          <w:szCs w:val="24"/>
        </w:rPr>
        <w:t>TITTLE PAGE</w:t>
      </w:r>
    </w:p>
    <w:p w14:paraId="1EB4894B">
      <w:pPr>
        <w:rPr>
          <w:rFonts w:ascii="Times New Roman" w:hAnsi="Times New Roman" w:cs="Times New Roman"/>
          <w:b/>
          <w:bCs/>
          <w:sz w:val="24"/>
          <w:szCs w:val="24"/>
        </w:rPr>
      </w:pPr>
      <w:r>
        <w:rPr>
          <w:rFonts w:ascii="Times New Roman" w:hAnsi="Times New Roman" w:cs="Times New Roman"/>
          <w:b/>
          <w:bCs/>
          <w:sz w:val="24"/>
          <w:szCs w:val="24"/>
        </w:rPr>
        <w:t>PREFACE</w:t>
      </w:r>
    </w:p>
    <w:p w14:paraId="1EB4894C">
      <w:pPr>
        <w:rPr>
          <w:rFonts w:ascii="Times New Roman" w:hAnsi="Times New Roman" w:cs="Times New Roman"/>
          <w:b/>
          <w:bCs/>
          <w:sz w:val="24"/>
          <w:szCs w:val="24"/>
        </w:rPr>
      </w:pPr>
      <w:r>
        <w:rPr>
          <w:rFonts w:ascii="Times New Roman" w:hAnsi="Times New Roman" w:cs="Times New Roman"/>
          <w:b/>
          <w:bCs/>
          <w:sz w:val="24"/>
          <w:szCs w:val="24"/>
        </w:rPr>
        <w:t>DEDICATION</w:t>
      </w:r>
    </w:p>
    <w:p w14:paraId="1EB4894D">
      <w:pPr>
        <w:rPr>
          <w:rFonts w:ascii="Times New Roman" w:hAnsi="Times New Roman" w:cs="Times New Roman"/>
          <w:b/>
          <w:bCs/>
          <w:sz w:val="24"/>
          <w:szCs w:val="24"/>
        </w:rPr>
      </w:pPr>
      <w:r>
        <w:rPr>
          <w:rFonts w:ascii="Times New Roman" w:hAnsi="Times New Roman" w:cs="Times New Roman"/>
          <w:b/>
          <w:bCs/>
          <w:sz w:val="24"/>
          <w:szCs w:val="24"/>
        </w:rPr>
        <w:t>ACKNOWLEDGEMENT</w:t>
      </w:r>
    </w:p>
    <w:p w14:paraId="1EB4894E">
      <w:pPr>
        <w:rPr>
          <w:rFonts w:ascii="Times New Roman" w:hAnsi="Times New Roman" w:cs="Times New Roman"/>
          <w:b/>
          <w:bCs/>
          <w:sz w:val="24"/>
          <w:szCs w:val="24"/>
        </w:rPr>
      </w:pPr>
      <w:r>
        <w:rPr>
          <w:rFonts w:ascii="Times New Roman" w:hAnsi="Times New Roman" w:cs="Times New Roman"/>
          <w:b/>
          <w:bCs/>
          <w:sz w:val="24"/>
          <w:szCs w:val="24"/>
        </w:rPr>
        <w:t>TABLE OF CONTENT</w:t>
      </w:r>
    </w:p>
    <w:p w14:paraId="1EB4894F">
      <w:pPr>
        <w:rPr>
          <w:rFonts w:ascii="Times New Roman" w:hAnsi="Times New Roman" w:cs="Times New Roman"/>
          <w:b/>
          <w:bCs/>
          <w:sz w:val="24"/>
          <w:szCs w:val="24"/>
        </w:rPr>
      </w:pPr>
    </w:p>
    <w:p w14:paraId="1EB48950">
      <w:pPr>
        <w:rPr>
          <w:rFonts w:ascii="Times New Roman" w:hAnsi="Times New Roman" w:cs="Times New Roman"/>
          <w:b/>
          <w:bCs/>
          <w:sz w:val="24"/>
          <w:szCs w:val="24"/>
        </w:rPr>
      </w:pPr>
      <w:r>
        <w:rPr>
          <w:rFonts w:ascii="Times New Roman" w:hAnsi="Times New Roman" w:cs="Times New Roman"/>
          <w:b/>
          <w:bCs/>
          <w:sz w:val="24"/>
          <w:szCs w:val="24"/>
        </w:rPr>
        <w:t>CHAPTER ONE</w:t>
      </w:r>
    </w:p>
    <w:p w14:paraId="1EB48951">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1EB48952">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1EB48953">
      <w:pPr>
        <w:rPr>
          <w:rFonts w:ascii="Times New Roman" w:hAnsi="Times New Roman" w:cs="Times New Roman"/>
          <w:b/>
          <w:bCs/>
          <w:sz w:val="24"/>
          <w:szCs w:val="24"/>
        </w:rPr>
      </w:pPr>
    </w:p>
    <w:p w14:paraId="1EB48954">
      <w:pPr>
        <w:rPr>
          <w:rFonts w:ascii="Times New Roman" w:hAnsi="Times New Roman" w:cs="Times New Roman"/>
          <w:b/>
          <w:bCs/>
          <w:sz w:val="24"/>
          <w:szCs w:val="24"/>
        </w:rPr>
      </w:pPr>
    </w:p>
    <w:p w14:paraId="1EB48955">
      <w:pPr>
        <w:rPr>
          <w:rFonts w:ascii="Times New Roman" w:hAnsi="Times New Roman" w:cs="Times New Roman"/>
          <w:b/>
          <w:bCs/>
          <w:sz w:val="24"/>
          <w:szCs w:val="24"/>
        </w:rPr>
      </w:pPr>
      <w:r>
        <w:rPr>
          <w:rFonts w:ascii="Times New Roman" w:hAnsi="Times New Roman" w:cs="Times New Roman"/>
          <w:b/>
          <w:bCs/>
          <w:sz w:val="24"/>
          <w:szCs w:val="24"/>
        </w:rPr>
        <w:t>CHAPTER TWO</w:t>
      </w:r>
    </w:p>
    <w:p w14:paraId="1EB48956">
      <w:pPr>
        <w:rPr>
          <w:rFonts w:ascii="Times New Roman" w:hAnsi="Times New Roman" w:cs="Times New Roman"/>
          <w:b/>
          <w:bCs/>
          <w:sz w:val="24"/>
          <w:szCs w:val="24"/>
        </w:rPr>
      </w:pPr>
      <w:r>
        <w:rPr>
          <w:rFonts w:ascii="Times New Roman" w:hAnsi="Times New Roman" w:cs="Times New Roman"/>
          <w:b/>
          <w:bCs/>
          <w:sz w:val="24"/>
          <w:szCs w:val="24"/>
        </w:rPr>
        <w:t>INTRODUCTION</w:t>
      </w:r>
    </w:p>
    <w:p w14:paraId="1EB48957">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1EB48958">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1EB48959">
      <w:pPr>
        <w:rPr>
          <w:rFonts w:ascii="Times New Roman" w:hAnsi="Times New Roman" w:cs="Times New Roman"/>
          <w:b/>
          <w:bCs/>
          <w:sz w:val="24"/>
          <w:szCs w:val="24"/>
        </w:rPr>
      </w:pPr>
    </w:p>
    <w:p w14:paraId="1EB4895A">
      <w:pPr>
        <w:rPr>
          <w:rFonts w:ascii="Times New Roman" w:hAnsi="Times New Roman" w:cs="Times New Roman"/>
          <w:b/>
          <w:bCs/>
          <w:sz w:val="24"/>
          <w:szCs w:val="24"/>
        </w:rPr>
      </w:pPr>
      <w:r>
        <w:rPr>
          <w:rFonts w:ascii="Times New Roman" w:hAnsi="Times New Roman" w:cs="Times New Roman"/>
          <w:b/>
          <w:bCs/>
          <w:sz w:val="24"/>
          <w:szCs w:val="24"/>
        </w:rPr>
        <w:t>CHAPTER THREE</w:t>
      </w:r>
    </w:p>
    <w:p w14:paraId="1EB4895B">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1EB4895C">
      <w:pPr>
        <w:rPr>
          <w:rFonts w:ascii="Times New Roman" w:hAnsi="Times New Roman" w:cs="Times New Roman"/>
          <w:b/>
          <w:bCs/>
          <w:sz w:val="24"/>
          <w:szCs w:val="24"/>
        </w:rPr>
      </w:pPr>
    </w:p>
    <w:p w14:paraId="1EB4895D">
      <w:pPr>
        <w:rPr>
          <w:rFonts w:ascii="Times New Roman" w:hAnsi="Times New Roman" w:cs="Times New Roman"/>
          <w:b/>
          <w:bCs/>
          <w:sz w:val="24"/>
          <w:szCs w:val="24"/>
        </w:rPr>
      </w:pPr>
      <w:r>
        <w:rPr>
          <w:rFonts w:ascii="Times New Roman" w:hAnsi="Times New Roman" w:cs="Times New Roman"/>
          <w:b/>
          <w:bCs/>
          <w:sz w:val="24"/>
          <w:szCs w:val="24"/>
        </w:rPr>
        <w:t>CHAPTER FOUR</w:t>
      </w:r>
    </w:p>
    <w:p w14:paraId="1EB4895E">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1EB4895F">
      <w:pPr>
        <w:rPr>
          <w:rFonts w:ascii="Times New Roman" w:hAnsi="Times New Roman" w:cs="Times New Roman"/>
          <w:b/>
          <w:bCs/>
          <w:sz w:val="24"/>
          <w:szCs w:val="24"/>
        </w:rPr>
      </w:pPr>
      <w:r>
        <w:rPr>
          <w:rFonts w:ascii="Times New Roman" w:hAnsi="Times New Roman" w:cs="Times New Roman"/>
          <w:b/>
          <w:bCs/>
          <w:sz w:val="24"/>
          <w:szCs w:val="24"/>
        </w:rPr>
        <w:t>CHAPTER FIVE</w:t>
      </w:r>
    </w:p>
    <w:p w14:paraId="1EB48960">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1EB48961">
      <w:pPr>
        <w:rPr>
          <w:rFonts w:ascii="Times New Roman" w:hAnsi="Times New Roman" w:cs="Times New Roman"/>
          <w:b/>
          <w:bCs/>
          <w:sz w:val="24"/>
          <w:szCs w:val="24"/>
        </w:rPr>
      </w:pPr>
      <w:r>
        <w:rPr>
          <w:rFonts w:ascii="Times New Roman" w:hAnsi="Times New Roman" w:cs="Times New Roman"/>
          <w:b/>
          <w:bCs/>
          <w:sz w:val="24"/>
          <w:szCs w:val="24"/>
        </w:rPr>
        <w:t>RECOMMENDATION</w:t>
      </w:r>
    </w:p>
    <w:p w14:paraId="1EB48962">
      <w:pPr>
        <w:rPr>
          <w:rFonts w:ascii="Times New Roman" w:hAnsi="Times New Roman" w:cs="Times New Roman"/>
          <w:b/>
          <w:bCs/>
          <w:sz w:val="24"/>
          <w:szCs w:val="24"/>
        </w:rPr>
      </w:pPr>
      <w:r>
        <w:rPr>
          <w:rFonts w:ascii="Times New Roman" w:hAnsi="Times New Roman" w:cs="Times New Roman"/>
          <w:b/>
          <w:bCs/>
          <w:sz w:val="24"/>
          <w:szCs w:val="24"/>
        </w:rPr>
        <w:t>CONCLUSION</w:t>
      </w:r>
    </w:p>
    <w:p w14:paraId="1EB48963">
      <w:pPr>
        <w:rPr>
          <w:rFonts w:ascii="Times New Roman" w:hAnsi="Times New Roman" w:cs="Times New Roman"/>
          <w:b/>
          <w:bCs/>
          <w:sz w:val="24"/>
          <w:szCs w:val="24"/>
        </w:rPr>
      </w:pPr>
      <w:r>
        <w:rPr>
          <w:rFonts w:ascii="Times New Roman" w:hAnsi="Times New Roman" w:cs="Times New Roman"/>
          <w:b/>
          <w:bCs/>
          <w:sz w:val="24"/>
          <w:szCs w:val="24"/>
        </w:rPr>
        <w:br w:type="page"/>
      </w:r>
    </w:p>
    <w:p w14:paraId="1EB48964">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1EB48965">
      <w:pPr>
        <w:spacing w:line="276" w:lineRule="auto"/>
        <w:rPr>
          <w:rFonts w:ascii="Times New Roman" w:hAnsi="Times New Roman" w:cs="Times New Roman"/>
          <w:sz w:val="24"/>
          <w:szCs w:val="24"/>
        </w:rPr>
      </w:pPr>
    </w:p>
    <w:p w14:paraId="1EB4896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EB48967">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EB48968">
      <w:pPr>
        <w:spacing w:line="276" w:lineRule="auto"/>
        <w:rPr>
          <w:rFonts w:ascii="Times New Roman" w:hAnsi="Times New Roman" w:cs="Times New Roman"/>
          <w:b/>
          <w:bCs/>
          <w:sz w:val="24"/>
          <w:szCs w:val="24"/>
        </w:rPr>
      </w:pPr>
    </w:p>
    <w:p w14:paraId="1EB4896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1EB4896A">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EB4896B">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EB4896C">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EB4896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r>
      <w:r>
        <w:rPr>
          <w:rFonts w:ascii="Times New Roman" w:hAnsi="Times New Roman" w:cs="Times New Roman"/>
          <w:b/>
          <w:bCs/>
          <w:sz w:val="26"/>
          <w:szCs w:val="26"/>
        </w:rPr>
        <w:t>OBJECTIVES OF SIWES</w:t>
      </w:r>
    </w:p>
    <w:p w14:paraId="1EB4896E">
      <w:pPr>
        <w:spacing w:line="276" w:lineRule="auto"/>
        <w:jc w:val="both"/>
        <w:rPr>
          <w:rFonts w:ascii="Times New Roman" w:hAnsi="Times New Roman" w:cs="Times New Roman"/>
          <w:color w:val="000000"/>
          <w:sz w:val="26"/>
          <w:szCs w:val="26"/>
        </w:rPr>
      </w:pPr>
      <w:r>
        <w:rPr>
          <w:rStyle w:val="7"/>
          <w:color w:val="000000"/>
          <w:sz w:val="26"/>
          <w:szCs w:val="26"/>
        </w:rPr>
        <w:t>The Industrial Training Funds Policy Document No. 1 of 1973 which established SIWES outlined the objectives of the scheme. The objectives are to:</w:t>
      </w:r>
    </w:p>
    <w:p w14:paraId="1EB4896F">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1EB48970">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EB48971">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EB48972">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EB48973">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EB48974">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EB48975">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EB48976">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EB48977">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EB48978">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1EB48979">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EB4897A">
      <w:pPr>
        <w:pStyle w:val="8"/>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EB4897B">
      <w:pPr>
        <w:pStyle w:val="8"/>
        <w:numPr>
          <w:ilvl w:val="0"/>
          <w:numId w:val="2"/>
        </w:numPr>
        <w:spacing w:after="200" w:line="276" w:lineRule="auto"/>
        <w:jc w:val="both"/>
        <w:rPr>
          <w:rStyle w:val="7"/>
          <w:color w:val="000000"/>
          <w:sz w:val="26"/>
          <w:szCs w:val="26"/>
        </w:rPr>
      </w:pPr>
      <w:r>
        <w:rPr>
          <w:rStyle w:val="7"/>
          <w:color w:val="000000"/>
          <w:sz w:val="26"/>
          <w:szCs w:val="26"/>
        </w:rPr>
        <w:t>To provide an avenue for students in higher institutions of learning to acquire industrial skills and experiences during their course of study.</w:t>
      </w:r>
    </w:p>
    <w:p w14:paraId="1EB4897C">
      <w:pPr>
        <w:pStyle w:val="8"/>
        <w:numPr>
          <w:ilvl w:val="0"/>
          <w:numId w:val="2"/>
        </w:numPr>
        <w:spacing w:after="200" w:line="276" w:lineRule="auto"/>
        <w:jc w:val="both"/>
        <w:rPr>
          <w:rStyle w:val="7"/>
          <w:color w:val="000000"/>
          <w:sz w:val="26"/>
          <w:szCs w:val="26"/>
        </w:rPr>
      </w:pPr>
      <w:r>
        <w:rPr>
          <w:rStyle w:val="7"/>
          <w:color w:val="000000"/>
          <w:sz w:val="26"/>
          <w:szCs w:val="26"/>
        </w:rPr>
        <w:t>To prepare students for industrial work situations that they are likely to meet after graduation.</w:t>
      </w:r>
    </w:p>
    <w:p w14:paraId="1EB4897D">
      <w:pPr>
        <w:pStyle w:val="8"/>
        <w:numPr>
          <w:ilvl w:val="0"/>
          <w:numId w:val="2"/>
        </w:numPr>
        <w:spacing w:after="200" w:line="276" w:lineRule="auto"/>
        <w:jc w:val="both"/>
        <w:rPr>
          <w:rStyle w:val="7"/>
          <w:color w:val="000000"/>
          <w:sz w:val="26"/>
          <w:szCs w:val="26"/>
        </w:rPr>
      </w:pPr>
      <w:r>
        <w:rPr>
          <w:rStyle w:val="7"/>
          <w:color w:val="000000"/>
          <w:sz w:val="26"/>
          <w:szCs w:val="26"/>
        </w:rPr>
        <w:t>To expose students to work methods and techniques in handling equipment and machinery that may not be available in their institutions.</w:t>
      </w:r>
    </w:p>
    <w:p w14:paraId="1EB4897E">
      <w:pPr>
        <w:pStyle w:val="8"/>
        <w:numPr>
          <w:ilvl w:val="0"/>
          <w:numId w:val="2"/>
        </w:numPr>
        <w:spacing w:after="200" w:line="276" w:lineRule="auto"/>
        <w:jc w:val="both"/>
        <w:rPr>
          <w:rStyle w:val="7"/>
          <w:color w:val="000000"/>
          <w:sz w:val="26"/>
          <w:szCs w:val="26"/>
        </w:rPr>
      </w:pPr>
      <w:r>
        <w:rPr>
          <w:rStyle w:val="7"/>
          <w:color w:val="000000"/>
          <w:sz w:val="26"/>
          <w:szCs w:val="26"/>
        </w:rPr>
        <w:t>To make the transition from school to the world of work easier and enhance students’ contacts for later job placements.</w:t>
      </w:r>
    </w:p>
    <w:p w14:paraId="1EB4897F">
      <w:pPr>
        <w:pStyle w:val="8"/>
        <w:numPr>
          <w:ilvl w:val="0"/>
          <w:numId w:val="2"/>
        </w:numPr>
        <w:spacing w:after="200" w:line="276" w:lineRule="auto"/>
        <w:jc w:val="both"/>
        <w:rPr>
          <w:rStyle w:val="7"/>
          <w:color w:val="000000"/>
          <w:sz w:val="26"/>
          <w:szCs w:val="26"/>
        </w:rPr>
      </w:pPr>
      <w:r>
        <w:rPr>
          <w:rStyle w:val="7"/>
          <w:color w:val="000000"/>
          <w:sz w:val="26"/>
          <w:szCs w:val="26"/>
        </w:rPr>
        <w:t>To provide students with the opportunities to apply their educational knowledge in real work situations, thereby bridging the gap between theory and practice.</w:t>
      </w:r>
    </w:p>
    <w:p w14:paraId="1EB48980">
      <w:pPr>
        <w:pStyle w:val="8"/>
        <w:numPr>
          <w:ilvl w:val="0"/>
          <w:numId w:val="2"/>
        </w:numPr>
        <w:spacing w:after="200" w:line="276" w:lineRule="auto"/>
        <w:jc w:val="both"/>
        <w:rPr>
          <w:rStyle w:val="7"/>
          <w:color w:val="000000"/>
          <w:sz w:val="26"/>
          <w:szCs w:val="26"/>
        </w:rPr>
      </w:pPr>
      <w:r>
        <w:rPr>
          <w:rStyle w:val="7"/>
          <w:color w:val="000000"/>
          <w:sz w:val="26"/>
          <w:szCs w:val="26"/>
        </w:rPr>
        <w:t>To enlist and strengthen employers’ involvement in the entire educational process and prepare students for employment in Industry and Commerce (Information and Guideline for SIWES, 2002).</w:t>
      </w:r>
    </w:p>
    <w:p w14:paraId="1EB48981">
      <w:pPr>
        <w:spacing w:line="276" w:lineRule="auto"/>
        <w:rPr>
          <w:rFonts w:ascii="Times New Roman" w:hAnsi="Times New Roman" w:cs="Times New Roman"/>
          <w:sz w:val="24"/>
          <w:szCs w:val="24"/>
        </w:rPr>
      </w:pPr>
    </w:p>
    <w:p w14:paraId="1EB4898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EB48983">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1EB4898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EB48985">
      <w:pPr>
        <w:spacing w:line="276" w:lineRule="auto"/>
        <w:jc w:val="both"/>
        <w:rPr>
          <w:rFonts w:ascii="Times New Roman" w:hAnsi="Times New Roman" w:cs="Times New Roman"/>
          <w:sz w:val="26"/>
          <w:szCs w:val="26"/>
          <w:lang w:val="en-GB"/>
        </w:rPr>
      </w:pPr>
    </w:p>
    <w:p w14:paraId="1EB4898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EB489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14:paraId="1EB4898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EB4898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EB4898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EB489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EB4898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EB4898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EB4898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EB4898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EB4899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1EB4899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1EB4899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1EB4899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EB4899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1EB4899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1EB4899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EB48997">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EB48998">
      <w:pPr>
        <w:jc w:val="center"/>
        <w:rPr>
          <w:rFonts w:ascii="Times New Roman" w:hAnsi="Times New Roman" w:eastAsia="Wingdings" w:cs="Times New Roman"/>
          <w:b/>
          <w:sz w:val="24"/>
          <w:szCs w:val="24"/>
        </w:rPr>
      </w:pPr>
      <w:r>
        <w:rPr>
          <w:rFonts w:ascii="Times New Roman" w:hAnsi="Times New Roman" w:eastAsia="Wingdings" w:cs="Times New Roman"/>
          <w:b/>
          <w:sz w:val="24"/>
          <w:szCs w:val="24"/>
        </w:rPr>
        <w:t>CHAPTER 2</w:t>
      </w:r>
    </w:p>
    <w:p w14:paraId="1EB48999">
      <w:pPr>
        <w:jc w:val="center"/>
        <w:rPr>
          <w:rFonts w:ascii="Times New Roman" w:hAnsi="Times New Roman" w:eastAsia="Wingdings" w:cs="Times New Roman"/>
          <w:b/>
          <w:sz w:val="24"/>
          <w:szCs w:val="24"/>
        </w:rPr>
      </w:pPr>
      <w:r>
        <w:rPr>
          <w:rFonts w:ascii="Times New Roman" w:hAnsi="Times New Roman" w:eastAsia="Wingdings" w:cs="Times New Roman"/>
          <w:b/>
          <w:sz w:val="24"/>
          <w:szCs w:val="24"/>
        </w:rPr>
        <w:t>ESTABLISHMENT OVERVIEW</w:t>
      </w:r>
    </w:p>
    <w:p w14:paraId="477DB535">
      <w:pPr>
        <w:jc w:val="center"/>
        <w:rPr>
          <w:rFonts w:hint="default" w:ascii="Times New Roman" w:hAnsi="Times New Roman"/>
          <w:b/>
          <w:bCs/>
          <w:sz w:val="24"/>
          <w:szCs w:val="24"/>
        </w:rPr>
      </w:pPr>
      <w:r>
        <w:rPr>
          <w:rFonts w:hint="default" w:ascii="Times New Roman" w:hAnsi="Times New Roman"/>
          <w:b/>
          <w:bCs/>
          <w:sz w:val="24"/>
          <w:szCs w:val="24"/>
        </w:rPr>
        <w:t>ILORIN SOUTH LOCAL GOVERNMENT</w:t>
      </w:r>
    </w:p>
    <w:p w14:paraId="022F9147">
      <w:pPr>
        <w:rPr>
          <w:rFonts w:hint="default" w:ascii="Times New Roman" w:hAnsi="Times New Roman"/>
          <w:sz w:val="24"/>
          <w:szCs w:val="24"/>
          <w:lang w:val="en-US"/>
        </w:rPr>
      </w:pPr>
      <w:r>
        <w:rPr>
          <w:rFonts w:ascii="Times New Roman" w:hAnsi="Times New Roman" w:eastAsia="Wingdings" w:cs="Times New Roman"/>
          <w:b/>
          <w:sz w:val="24"/>
          <w:szCs w:val="24"/>
        </w:rPr>
        <w:t>2:1 BRIEF HISTORY OF</w:t>
      </w:r>
      <w:r>
        <w:rPr>
          <w:rFonts w:ascii="Times New Roman" w:hAnsi="Times New Roman" w:cs="Times New Roman"/>
          <w:sz w:val="24"/>
          <w:szCs w:val="24"/>
        </w:rPr>
        <w:t xml:space="preserve"> </w:t>
      </w:r>
      <w:r>
        <w:rPr>
          <w:rFonts w:hint="default" w:ascii="Times New Roman" w:hAnsi="Times New Roman"/>
          <w:b/>
          <w:bCs/>
          <w:sz w:val="24"/>
          <w:szCs w:val="24"/>
        </w:rPr>
        <w:t>ILORIN SOUTH LOCAL GOVERNMENT</w:t>
      </w:r>
    </w:p>
    <w:p w14:paraId="1761CA06">
      <w:pPr>
        <w:jc w:val="both"/>
        <w:rPr>
          <w:rFonts w:hint="default" w:ascii="Times New Roman" w:hAnsi="Times New Roman"/>
          <w:sz w:val="24"/>
          <w:szCs w:val="24"/>
        </w:rPr>
      </w:pPr>
      <w:r>
        <w:rPr>
          <w:rFonts w:hint="default" w:ascii="Times New Roman" w:hAnsi="Times New Roman"/>
          <w:sz w:val="24"/>
          <w:szCs w:val="24"/>
        </w:rPr>
        <w:t>Ilorin South Local Government is one of the local government areas (LGAs) in Kwara State, Nigeria, located in the central region of the country. It is an area with a rich and diverse history that has evolved over centuries. The local government is an important administrative region that plays a key role in the political, economic, and cultural landscape of Kwara State.</w:t>
      </w:r>
    </w:p>
    <w:p w14:paraId="0A010DB2">
      <w:pPr>
        <w:jc w:val="both"/>
        <w:rPr>
          <w:rFonts w:hint="default" w:ascii="Times New Roman" w:hAnsi="Times New Roman"/>
          <w:sz w:val="24"/>
          <w:szCs w:val="24"/>
        </w:rPr>
      </w:pPr>
      <w:r>
        <w:rPr>
          <w:rFonts w:hint="default" w:ascii="Times New Roman" w:hAnsi="Times New Roman"/>
          <w:sz w:val="24"/>
          <w:szCs w:val="24"/>
        </w:rPr>
        <w:t>The history of Ilorin South can be traced back to the founding of Ilorin itself, a city that holds great historical and cultural significance. Ilorin was originally a Yoruba settlement, but over time, it became influenced by a variety of ethnic groups, including the Fulani and Hausa, due to its strategic position as a crossroads between the north and south of Nigeria.</w:t>
      </w:r>
    </w:p>
    <w:p w14:paraId="67BBDF95">
      <w:pPr>
        <w:jc w:val="both"/>
        <w:rPr>
          <w:rFonts w:hint="default" w:ascii="Times New Roman" w:hAnsi="Times New Roman"/>
          <w:sz w:val="24"/>
          <w:szCs w:val="24"/>
        </w:rPr>
      </w:pPr>
      <w:r>
        <w:rPr>
          <w:rFonts w:hint="default" w:ascii="Times New Roman" w:hAnsi="Times New Roman"/>
          <w:sz w:val="24"/>
          <w:szCs w:val="24"/>
        </w:rPr>
        <w:t>In the early 19th century, Ilorin became a major center of Islamic influence in the region. This transformation occurred when Sheikh Alimi, a Fulani leader, led the Fulani Jihad into the area, which resulted in the conversion of the people to Islam. The Fulani rulers also established a strong political presence in the city, making Ilorin a prominent center for Islamic scholarship, culture, and governance.</w:t>
      </w:r>
    </w:p>
    <w:p w14:paraId="141B6676">
      <w:pPr>
        <w:jc w:val="both"/>
        <w:rPr>
          <w:rFonts w:hint="default" w:ascii="Times New Roman" w:hAnsi="Times New Roman"/>
          <w:sz w:val="24"/>
          <w:szCs w:val="24"/>
        </w:rPr>
      </w:pPr>
      <w:r>
        <w:rPr>
          <w:rFonts w:hint="default" w:ascii="Times New Roman" w:hAnsi="Times New Roman"/>
          <w:sz w:val="24"/>
          <w:szCs w:val="24"/>
        </w:rPr>
        <w:t>During the 19th century, Ilorin became an important city in the northern Yoruba Kingdoms, with the establishment of the Emirate of Ilorin. The emirate system in Ilorin is still in existence today, with the Emir of Ilorin being one of the most influential traditional rulers in the region. This traditional system of governance has played a significant role in shaping the culture and political structure of Ilorin South.</w:t>
      </w:r>
    </w:p>
    <w:p w14:paraId="2FE05BA3">
      <w:pPr>
        <w:jc w:val="both"/>
        <w:rPr>
          <w:rFonts w:hint="default" w:ascii="Times New Roman" w:hAnsi="Times New Roman"/>
          <w:sz w:val="24"/>
          <w:szCs w:val="24"/>
        </w:rPr>
      </w:pPr>
      <w:r>
        <w:rPr>
          <w:rFonts w:hint="default" w:ascii="Times New Roman" w:hAnsi="Times New Roman"/>
          <w:sz w:val="24"/>
          <w:szCs w:val="24"/>
        </w:rPr>
        <w:t>The colonial period further impacted the history of Ilorin South. Under British colonial rule, Ilorin became part of the British protectorate, and it was during this time that the local government system was introduced to the area. The creation of local governments, including Ilorin South, was aimed at improving administrative efficiency and ensuring that services such as education, healthcare, and infrastructure reached the rural and urban areas alike.</w:t>
      </w:r>
    </w:p>
    <w:p w14:paraId="654C6CA3">
      <w:pPr>
        <w:jc w:val="both"/>
        <w:rPr>
          <w:rFonts w:hint="default" w:ascii="Times New Roman" w:hAnsi="Times New Roman"/>
          <w:sz w:val="24"/>
          <w:szCs w:val="24"/>
        </w:rPr>
      </w:pPr>
      <w:r>
        <w:rPr>
          <w:rFonts w:hint="default" w:ascii="Times New Roman" w:hAnsi="Times New Roman"/>
          <w:sz w:val="24"/>
          <w:szCs w:val="24"/>
        </w:rPr>
        <w:t>In the post-colonial era, Ilorin South, like other local government areas in Kwara State, became more politically active. The establishment of local governments in Nigeria was part of the broader effort to decentralize governance and give local communities more control over their affairs. Ilorin South was particularly important in this regard, as it represented both the urban center of Ilorin and the rural areas surrounding it.</w:t>
      </w:r>
    </w:p>
    <w:p w14:paraId="7E31C8B5">
      <w:pPr>
        <w:jc w:val="both"/>
        <w:rPr>
          <w:rFonts w:hint="default" w:ascii="Times New Roman" w:hAnsi="Times New Roman"/>
          <w:sz w:val="24"/>
          <w:szCs w:val="24"/>
        </w:rPr>
      </w:pPr>
      <w:r>
        <w:rPr>
          <w:rFonts w:hint="default" w:ascii="Times New Roman" w:hAnsi="Times New Roman"/>
          <w:sz w:val="24"/>
          <w:szCs w:val="24"/>
        </w:rPr>
        <w:t>One of the key developments in Ilorin South's history was the growth of its infrastructure. The local government focused on improving roads, schools, and healthcare facilities, which had a significant impact on the quality of life for the people living in the area. This infrastructure development also helped to boost trade and commerce, as the region became more accessible to businesses and visitors.</w:t>
      </w:r>
    </w:p>
    <w:p w14:paraId="684724BA">
      <w:pPr>
        <w:jc w:val="both"/>
        <w:rPr>
          <w:rFonts w:hint="default" w:ascii="Times New Roman" w:hAnsi="Times New Roman"/>
          <w:sz w:val="24"/>
          <w:szCs w:val="24"/>
        </w:rPr>
      </w:pPr>
      <w:r>
        <w:rPr>
          <w:rFonts w:hint="default" w:ascii="Times New Roman" w:hAnsi="Times New Roman"/>
          <w:sz w:val="24"/>
          <w:szCs w:val="24"/>
        </w:rPr>
        <w:t>Ilorin South is known for its agricultural activities, with farming playing a significant role in the local economy. The fertile land in the area supports the cultivation of crops such as yams, cassava, maize, and vegetables. Agriculture has been an important part of the culture of Ilorin South, with many families relying on farming as their primary source of livelihood.</w:t>
      </w:r>
    </w:p>
    <w:p w14:paraId="35EC7E02">
      <w:pPr>
        <w:jc w:val="both"/>
        <w:rPr>
          <w:rFonts w:hint="default" w:ascii="Times New Roman" w:hAnsi="Times New Roman"/>
          <w:sz w:val="24"/>
          <w:szCs w:val="24"/>
        </w:rPr>
      </w:pPr>
      <w:r>
        <w:rPr>
          <w:rFonts w:hint="default" w:ascii="Times New Roman" w:hAnsi="Times New Roman"/>
          <w:sz w:val="24"/>
          <w:szCs w:val="24"/>
        </w:rPr>
        <w:t>In addition to agriculture, trade and commerce have also flourished in Ilorin South. The region is home to several markets where goods such as textiles, foodstuffs, and household items are sold. The markets attract traders from all over Nigeria, making Ilorin South an important economic hub within the state.</w:t>
      </w:r>
    </w:p>
    <w:p w14:paraId="0EB1FC72">
      <w:pPr>
        <w:jc w:val="both"/>
        <w:rPr>
          <w:rFonts w:hint="default" w:ascii="Times New Roman" w:hAnsi="Times New Roman"/>
          <w:sz w:val="24"/>
          <w:szCs w:val="24"/>
        </w:rPr>
      </w:pPr>
      <w:r>
        <w:rPr>
          <w:rFonts w:hint="default" w:ascii="Times New Roman" w:hAnsi="Times New Roman"/>
          <w:sz w:val="24"/>
          <w:szCs w:val="24"/>
        </w:rPr>
        <w:t>Education has always been a key focus in Ilorin South. Over the years, the local government has worked to improve educational opportunities for children and young adults. Several primary and secondary schools have been established in the area, and the presence of higher education institutions, such as the University of Ilorin, has further contributed to the development of the region's education system.</w:t>
      </w:r>
    </w:p>
    <w:p w14:paraId="64D07686">
      <w:pPr>
        <w:jc w:val="both"/>
        <w:rPr>
          <w:rFonts w:hint="default" w:ascii="Times New Roman" w:hAnsi="Times New Roman"/>
          <w:sz w:val="24"/>
          <w:szCs w:val="24"/>
        </w:rPr>
      </w:pPr>
      <w:r>
        <w:rPr>
          <w:rFonts w:hint="default" w:ascii="Times New Roman" w:hAnsi="Times New Roman"/>
          <w:sz w:val="24"/>
          <w:szCs w:val="24"/>
        </w:rPr>
        <w:t>Healthcare in Ilorin South has also seen improvements, with the establishment of health centers and hospitals to cater to the needs of the local population. These healthcare facilities offer a range of services, including maternal and child health care, immunization, and treatment for common ailments. The local government has also worked to raise awareness about public health issues, such as sanitation and disease prevention.</w:t>
      </w:r>
    </w:p>
    <w:p w14:paraId="2691DA99">
      <w:pPr>
        <w:jc w:val="both"/>
        <w:rPr>
          <w:rFonts w:hint="default" w:ascii="Times New Roman" w:hAnsi="Times New Roman"/>
          <w:sz w:val="24"/>
          <w:szCs w:val="24"/>
        </w:rPr>
      </w:pPr>
      <w:r>
        <w:rPr>
          <w:rFonts w:hint="default" w:ascii="Times New Roman" w:hAnsi="Times New Roman"/>
          <w:sz w:val="24"/>
          <w:szCs w:val="24"/>
        </w:rPr>
        <w:t>Cultural practices and traditions are an important part of life in Ilorin South. The area is home to a rich cultural heritage that blends Yoruba, Fulani, and other ethnic influences. Festivals, traditional dances, and ceremonies are held throughout the year, celebrating the diverse cultural practices of the people. The annual Ilorin Durbar, a traditional festival, is a highlight of the cultural calendar and attracts visitors from all over the country.</w:t>
      </w:r>
    </w:p>
    <w:p w14:paraId="60C577EC">
      <w:pPr>
        <w:jc w:val="both"/>
        <w:rPr>
          <w:rFonts w:hint="default" w:ascii="Times New Roman" w:hAnsi="Times New Roman"/>
          <w:sz w:val="24"/>
          <w:szCs w:val="24"/>
        </w:rPr>
      </w:pPr>
      <w:r>
        <w:rPr>
          <w:rFonts w:hint="default" w:ascii="Times New Roman" w:hAnsi="Times New Roman"/>
          <w:sz w:val="24"/>
          <w:szCs w:val="24"/>
        </w:rPr>
        <w:t>Religion also plays a significant role in the daily life of the people of Ilorin South. Islam is the dominant religion, but there are also Christian communities in the area. Religious leaders in Ilorin South play an important role in guiding the community and ensuring that moral and social values are upheld.</w:t>
      </w:r>
    </w:p>
    <w:p w14:paraId="0F4B0539">
      <w:pPr>
        <w:jc w:val="both"/>
        <w:rPr>
          <w:rFonts w:hint="default" w:ascii="Times New Roman" w:hAnsi="Times New Roman"/>
          <w:sz w:val="24"/>
          <w:szCs w:val="24"/>
        </w:rPr>
      </w:pPr>
      <w:r>
        <w:rPr>
          <w:rFonts w:hint="default" w:ascii="Times New Roman" w:hAnsi="Times New Roman"/>
          <w:sz w:val="24"/>
          <w:szCs w:val="24"/>
        </w:rPr>
        <w:t>Over the years, Ilorin South has experienced population growth, both due to natural increase and migration from other parts of Nigeria. This growth has led to the expansion of urban areas, with more people moving to the city in search of jobs and better living conditions. The local government has had to manage this growth by providing essential services and ensuring that the infrastructure is able to support the increasing population.</w:t>
      </w:r>
    </w:p>
    <w:p w14:paraId="78B976D3">
      <w:pPr>
        <w:jc w:val="both"/>
        <w:rPr>
          <w:rFonts w:hint="default" w:ascii="Times New Roman" w:hAnsi="Times New Roman"/>
          <w:sz w:val="24"/>
          <w:szCs w:val="24"/>
        </w:rPr>
      </w:pPr>
      <w:r>
        <w:rPr>
          <w:rFonts w:hint="default" w:ascii="Times New Roman" w:hAnsi="Times New Roman"/>
          <w:sz w:val="24"/>
          <w:szCs w:val="24"/>
        </w:rPr>
        <w:t>The political landscape of Ilorin South has been shaped by both local and state-level elections. Politicians in the area often run on platforms focused on improving education, healthcare, and infrastructure. The local government also plays a key role in ensuring that the voices of the people are heard in the decision-making processes at the state and national levels.</w:t>
      </w:r>
    </w:p>
    <w:p w14:paraId="4478709F">
      <w:pPr>
        <w:jc w:val="both"/>
        <w:rPr>
          <w:rFonts w:hint="default" w:ascii="Times New Roman" w:hAnsi="Times New Roman"/>
          <w:sz w:val="24"/>
          <w:szCs w:val="24"/>
        </w:rPr>
      </w:pPr>
      <w:r>
        <w:rPr>
          <w:rFonts w:hint="default" w:ascii="Times New Roman" w:hAnsi="Times New Roman"/>
          <w:sz w:val="24"/>
          <w:szCs w:val="24"/>
        </w:rPr>
        <w:t>In recent years, the local government has worked to address some of the challenges facing the region, including unemployment, poverty, and environmental degradation. Efforts have been made to create jobs for young people, particularly in agriculture and small-scale industries. The government has also worked to improve waste management and sanitation, which are key issues in rapidly growing urban areas like Ilorin South.</w:t>
      </w:r>
    </w:p>
    <w:p w14:paraId="0E24D922">
      <w:pPr>
        <w:jc w:val="both"/>
        <w:rPr>
          <w:rFonts w:hint="default" w:ascii="Times New Roman" w:hAnsi="Times New Roman"/>
          <w:sz w:val="24"/>
          <w:szCs w:val="24"/>
        </w:rPr>
      </w:pPr>
    </w:p>
    <w:p w14:paraId="3AF53DA0">
      <w:pPr>
        <w:jc w:val="both"/>
        <w:rPr>
          <w:rFonts w:hint="default" w:ascii="Times New Roman" w:hAnsi="Times New Roman"/>
          <w:sz w:val="24"/>
          <w:szCs w:val="24"/>
        </w:rPr>
      </w:pPr>
      <w:r>
        <w:rPr>
          <w:rFonts w:hint="default" w:ascii="Times New Roman" w:hAnsi="Times New Roman"/>
          <w:sz w:val="24"/>
          <w:szCs w:val="24"/>
        </w:rPr>
        <w:t>The future of Ilorin South looks promising, with ongoing efforts to improve infrastructure, education, and healthcare. As the population continues to grow, the local government will need to adapt to the changing needs of its people. There is also potential for further economic development, particularly in agriculture, trade, and tourism, which could help to reduce poverty and improve the standard of living in the area.</w:t>
      </w:r>
    </w:p>
    <w:p w14:paraId="05D2D9AB">
      <w:pPr>
        <w:jc w:val="both"/>
        <w:rPr>
          <w:rFonts w:hint="default" w:ascii="Times New Roman" w:hAnsi="Times New Roman"/>
          <w:sz w:val="24"/>
          <w:szCs w:val="24"/>
        </w:rPr>
      </w:pPr>
      <w:r>
        <w:rPr>
          <w:rFonts w:hint="default" w:ascii="Times New Roman" w:hAnsi="Times New Roman"/>
          <w:sz w:val="24"/>
          <w:szCs w:val="24"/>
        </w:rPr>
        <w:t>In conclusion, the history of Ilorin South Local Government is one of transformation, growth, and adaptation. From its roots as a Yoruba settlement to its current status as an important part of Kwara State, the region has experienced significant changes. Through the efforts of the local government, the people of Ilorin South have seen improvements in education, healthcare, infrastructure, and economic opportunities, and the area continues to be an important part of Nigeria's development.</w:t>
      </w:r>
    </w:p>
    <w:p w14:paraId="1EB489AF">
      <w:pPr>
        <w:jc w:val="both"/>
        <w:rPr>
          <w:rFonts w:ascii="Times New Roman" w:hAnsi="Times New Roman" w:eastAsia="Wingdings" w:cs="Times New Roman"/>
          <w:sz w:val="24"/>
          <w:szCs w:val="24"/>
        </w:rPr>
      </w:pPr>
      <w:r>
        <w:rPr>
          <w:rFonts w:hint="default" w:ascii="Times New Roman" w:hAnsi="Times New Roman"/>
          <w:sz w:val="24"/>
          <w:szCs w:val="24"/>
        </w:rPr>
        <w:t>.</w:t>
      </w:r>
      <w:r>
        <w:rPr>
          <w:rFonts w:ascii="Times New Roman" w:hAnsi="Times New Roman" w:eastAsia="Wingdings" w:cs="Times New Roman"/>
          <w:sz w:val="24"/>
          <w:szCs w:val="24"/>
        </w:rPr>
        <w:t>• Location:</w:t>
      </w:r>
    </w:p>
    <w:p w14:paraId="5260899D">
      <w:pPr>
        <w:keepNext w:val="0"/>
        <w:keepLines w:val="0"/>
        <w:widowControl/>
        <w:suppressLineNumbers w:val="0"/>
        <w:spacing w:before="0" w:beforeAutospacing="1" w:after="160" w:afterAutospacing="0" w:line="256" w:lineRule="auto"/>
        <w:ind w:left="0" w:right="0"/>
        <w:jc w:val="both"/>
        <w:rPr>
          <w:rFonts w:hint="default" w:ascii="Times New Roman" w:hAnsi="Times New Roman" w:eastAsia="SimSun" w:cs="Times New Roman"/>
          <w:b/>
          <w:bCs/>
          <w:sz w:val="15"/>
          <w:szCs w:val="15"/>
          <w:lang w:val="en-US"/>
        </w:rPr>
      </w:pPr>
      <w:r>
        <w:rPr>
          <w:rFonts w:hint="default" w:ascii="Times New Roman" w:hAnsi="Times New Roman" w:eastAsia="SimSun" w:cs="Times New Roman"/>
          <w:b/>
          <w:bCs/>
          <w:i w:val="0"/>
          <w:iCs w:val="0"/>
          <w:color w:val="1F1F1F"/>
          <w:spacing w:val="0"/>
          <w:sz w:val="24"/>
          <w:szCs w:val="24"/>
          <w:shd w:val="clear" w:fill="FFFFFF"/>
        </w:rPr>
        <w:t>FHX7+94J, GAMBARI RD, OKO ERIN 240101, KWARA</w:t>
      </w:r>
      <w:r>
        <w:rPr>
          <w:rFonts w:hint="default" w:ascii="Times New Roman" w:hAnsi="Times New Roman" w:eastAsia="SimSun" w:cs="Times New Roman"/>
          <w:b/>
          <w:bCs/>
          <w:i w:val="0"/>
          <w:iCs w:val="0"/>
          <w:color w:val="1F1F1F"/>
          <w:spacing w:val="0"/>
          <w:sz w:val="24"/>
          <w:szCs w:val="24"/>
          <w:shd w:val="clear" w:fill="FFFFFF"/>
          <w:lang w:val="en-US"/>
        </w:rPr>
        <w:t xml:space="preserve"> STATE</w:t>
      </w:r>
    </w:p>
    <w:p w14:paraId="1EB489B2">
      <w:pPr>
        <w:jc w:val="both"/>
        <w:rPr>
          <w:rFonts w:ascii="Times New Roman" w:hAnsi="Times New Roman" w:eastAsia="Wingdings" w:cs="Times New Roman"/>
          <w:b/>
          <w:sz w:val="24"/>
          <w:szCs w:val="24"/>
        </w:rPr>
      </w:pPr>
      <w:r>
        <w:rPr>
          <w:rFonts w:ascii="Times New Roman" w:hAnsi="Times New Roman" w:eastAsia="Wingdings" w:cs="Times New Roman"/>
          <w:b/>
          <w:sz w:val="24"/>
          <w:szCs w:val="24"/>
        </w:rPr>
        <w:t>2:2 OBJECTIVE OF ESTABLISHMENT</w:t>
      </w:r>
    </w:p>
    <w:p w14:paraId="512DB8CD">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The objectives of Ilorin South Local Government are focused on fostering the development and well-being of the community through various social, economic, and administrative initiatives. These objectives align with the broader goals of local government administration in Nigeria, which include improving the quality of life for citizens, promoting sustainable development, and ensuring effective governance at the grassroots level. Here are the key objectives of Ilorin South Local Government:</w:t>
      </w:r>
    </w:p>
    <w:p w14:paraId="3F3CE802">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 Promotion of Education: To improve the quality of education by building and maintaining schools, providing educational resources, and supporting initiatives that promote literacy and skills development in the community.</w:t>
      </w:r>
    </w:p>
    <w:p w14:paraId="67AB8A44">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2. Healthcare Delivery: To enhance access to quality healthcare services by constructing and maintaining health centers, promoting disease prevention, and ensuring that healthcare services are available to both urban and rural communities.</w:t>
      </w:r>
    </w:p>
    <w:p w14:paraId="41D6FD4A">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3. Infrastructure Development: To improve infrastructure such as roads, bridges, and public facilities to ensure better connectivity and ease of transportation for residents and businesses.</w:t>
      </w:r>
    </w:p>
    <w:p w14:paraId="731BA412">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4. Economic Empowerment: To create economic opportunities for the local population, particularly in agriculture, trade, and small-scale industries, by providing training, grants, and support to entrepreneurs and farmers.</w:t>
      </w:r>
    </w:p>
    <w:p w14:paraId="5C332608">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5. Provision of Clean Water and Sanitation: To ensure that all communities have access to clean water and proper sanitation facilities to improve public health and reduce the spread of waterborne diseases.</w:t>
      </w:r>
    </w:p>
    <w:p w14:paraId="1B6EB4D8">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6. Youth Development: To empower and engage young people through educational programs, skill acquisition, and employment opportunities that will help reduce youth unemployment and promote self-reliance.</w:t>
      </w:r>
    </w:p>
    <w:p w14:paraId="71C99B39">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7. Improved Security: To ensure the safety and security of citizens by collaborating with security agencies and local communities to maintain peace and order within the local government area.</w:t>
      </w:r>
    </w:p>
    <w:p w14:paraId="304F34E4">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8. Promotion of Agricultural Development: To support and encourage agricultural activities by providing farmers with access to modern farming techniques, tools, and financial support, thereby enhancing food security and rural development.</w:t>
      </w:r>
    </w:p>
    <w:p w14:paraId="12D2E25B">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9. Environmental Sustainability: To promote sustainable environmental practices, including waste management, afforestation, and conservation, in order to ensure the long-term health of the environment and the well-being of the residents.</w:t>
      </w:r>
    </w:p>
    <w:p w14:paraId="50C60243">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10. Social Welfare Programs: To implement social welfare initiatives aimed at assisting vulnerable populations, including the elderly, children, and persons with disabilities, through targeted interventions and support systems.</w:t>
      </w:r>
    </w:p>
    <w:p w14:paraId="7AB918E4">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11. Cultural and Social Integration: To preserve and promote the rich cultural heritage of Ilorin South while fostering social integration and unity among the diverse ethnic and religious groups in the community.</w:t>
      </w:r>
    </w:p>
    <w:p w14:paraId="10D4E0ED">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12. Promotion of Good Governance: To ensure transparent, accountable, and efficient governance by adhering to the principles of good governance, including public participation, responsiveness to community needs, and the effective use of resources.</w:t>
      </w:r>
    </w:p>
    <w:p w14:paraId="6BFCFF74">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13. Disaster Management and Response: To develop and implement strategies for disaster preparedness, mitigation, and response, ensuring that the community is resilient in the face of natural disasters such as floods or disease outbreaks.</w:t>
      </w:r>
    </w:p>
    <w:p w14:paraId="34E2DC23">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14. Improvement of Local Revenue Generation: To diversify the sources of local revenue through effective tax collection, local business development, and resource management to fund development projects and services within the local government.</w:t>
      </w:r>
    </w:p>
    <w:p w14:paraId="4E3FF109">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15. Strengthening of Local Institutions: To enhance the capacity of local institutions such as the local council, health centers, and schools, ensuring they are well-equipped to serve the needs of the community effectively.</w:t>
      </w:r>
    </w:p>
    <w:p w14:paraId="7BCAB39E">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16. Empowerment of Women: To promote gender equality and empower women through access to education, health services, economic opportunities, and participation in decision-making processes.</w:t>
      </w:r>
    </w:p>
    <w:p w14:paraId="3EEBC2EF">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17. Promotion of Tourism: To harness the potential of the region's historical, cultural, and natural resources to promote tourism, which can drive economic growth and create job opportunities.</w:t>
      </w:r>
    </w:p>
    <w:p w14:paraId="6272EC84">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18. Infrastructure for Social Services: To ensure the provision of adequate infrastructure for social services, including community centers, markets, and recreational facilities that enhance the overall quality of life.</w:t>
      </w:r>
    </w:p>
    <w:p w14:paraId="272BF082">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19. Public Awareness and Advocacy: To raise awareness on important issues such as health, education, environmental sustainability, and civic rights through campaigns, workshops, and community outreach programs.</w:t>
      </w:r>
    </w:p>
    <w:p w14:paraId="3BC63AE4">
      <w:pPr>
        <w:jc w:val="both"/>
        <w:rPr>
          <w:rFonts w:hint="default" w:ascii="Times New Roman" w:hAnsi="Times New Roman" w:eastAsia="Wingdings"/>
          <w:b w:val="0"/>
          <w:bCs w:val="0"/>
          <w:sz w:val="24"/>
          <w:szCs w:val="24"/>
          <w:lang w:val="en-GB"/>
        </w:rPr>
      </w:pPr>
      <w:r>
        <w:rPr>
          <w:rFonts w:hint="default" w:ascii="Times New Roman" w:hAnsi="Times New Roman" w:eastAsia="Wingdings"/>
          <w:b w:val="0"/>
          <w:bCs w:val="0"/>
          <w:sz w:val="24"/>
          <w:szCs w:val="24"/>
          <w:lang w:val="en-GB"/>
        </w:rPr>
        <w:t>20. Fostering Community Development: To encourage community participation in the decision-making process and the development of local projects that improve the living conditions and social cohesion of the residents of Ilorin South.</w:t>
      </w:r>
    </w:p>
    <w:p w14:paraId="290CD0BE">
      <w:pPr>
        <w:jc w:val="both"/>
        <w:rPr>
          <w:rFonts w:ascii="Times New Roman" w:hAnsi="Times New Roman" w:eastAsia="Wingdings" w:cs="Times New Roman"/>
          <w:b/>
          <w:sz w:val="24"/>
          <w:szCs w:val="24"/>
        </w:rPr>
      </w:pPr>
      <w:r>
        <w:rPr>
          <w:rFonts w:ascii="Times New Roman" w:hAnsi="Times New Roman" w:eastAsia="Wingdings" w:cs="Times New Roman"/>
          <w:b/>
          <w:sz w:val="24"/>
          <w:szCs w:val="24"/>
        </w:rPr>
        <w:t>2.3 VARIOUS UNITS IN THE ESTABLISHMENT AND FUNCTION</w:t>
      </w:r>
    </w:p>
    <w:p w14:paraId="422C9FDA">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Ilorin South Local Government, like most local government areas in Nigeria, has various departments that are responsible for implementing its policies, programs, and services. These departments work together to address the needs of the community and ensure that the local government functions effectively. Below are the key departments typically found in Ilorin South Local Government:</w:t>
      </w:r>
    </w:p>
    <w:p w14:paraId="09147CF5">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 Education Department:</w:t>
      </w:r>
    </w:p>
    <w:p w14:paraId="0BE1DD5F">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Responsible for managing and overseeing educational programs and institutions within the local government area. This department works to improve the quality of education by building schools, training teachers, and providing educational materials.</w:t>
      </w:r>
    </w:p>
    <w:p w14:paraId="661D44B2">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2. Health Department:</w:t>
      </w:r>
    </w:p>
    <w:p w14:paraId="775FE5B5">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is in charge of providing healthcare services to the local population. It manages health centers, hospitals, and clinics, offering primary healthcare, maternal and child health services, immunization programs, and public health awareness campaigns.</w:t>
      </w:r>
    </w:p>
    <w:p w14:paraId="17974443">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3. Works and Infrastructure Department:</w:t>
      </w:r>
    </w:p>
    <w:p w14:paraId="31E678E7">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is tasked with the construction and maintenance of roads, bridges, and other infrastructure projects. It ensures that the physical infrastructure of the local government is well-developed and maintained for the benefit of the residents.</w:t>
      </w:r>
    </w:p>
    <w:p w14:paraId="621533CD">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4. Agricultural Department:</w:t>
      </w:r>
    </w:p>
    <w:p w14:paraId="4B3252DD">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Agricultural Department is responsible for promoting agricultural development in the area. It provides farmers with access to resources, training, and tools to improve productivity and food security. It also focuses on sustainable farming practices and agricultural extension services.</w:t>
      </w:r>
    </w:p>
    <w:p w14:paraId="79FC25FC">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5. Revenue and Finance Department:</w:t>
      </w:r>
    </w:p>
    <w:p w14:paraId="7C061091">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is responsible for generating local revenue through taxes, levies, and other financial sources. It ensures that funds are collected efficiently and are used effectively for the development of the local government area.</w:t>
      </w:r>
    </w:p>
    <w:p w14:paraId="2EAEB3B5">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6. Social Welfare Department:</w:t>
      </w:r>
    </w:p>
    <w:p w14:paraId="15A7456E">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Social Welfare Department addresses issues related to vulnerable groups such as the elderly, children, women, and persons with disabilities. It implements social welfare programs aimed at improving the quality of life for these groups, providing assistance in times of need.</w:t>
      </w:r>
    </w:p>
    <w:p w14:paraId="5BD723AF">
      <w:pPr>
        <w:numPr>
          <w:ilvl w:val="0"/>
          <w:numId w:val="3"/>
        </w:num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Environment and Sanitation Department:</w:t>
      </w:r>
    </w:p>
    <w:p w14:paraId="343FBDF6">
      <w:pPr>
        <w:numPr>
          <w:ilvl w:val="0"/>
          <w:numId w:val="0"/>
        </w:num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is responsible for managing waste disposal, promoting environmental conservation, and ensuring sanitation across the local government area. It works to prevent environmental degradation and promote cleaner, healthier communities.</w:t>
      </w:r>
    </w:p>
    <w:p w14:paraId="0DC92FC8">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8. Community Development Department:</w:t>
      </w:r>
    </w:p>
    <w:p w14:paraId="039E91CD">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Community Development Department works to empower local communities by involving them in decision-making processes, fostering social cohesion, and implementing grassroots development projects aimed at improving living standards.</w:t>
      </w:r>
    </w:p>
    <w:p w14:paraId="28E343C8">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9. Public Health Department:</w:t>
      </w:r>
    </w:p>
    <w:p w14:paraId="19784507">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focuses on promoting public health awareness, preventing diseases, and ensuring the well-being of the population. It runs vaccination programs, health campaigns, and environmental health initiatives to combat diseases like malaria, cholera, and others.</w:t>
      </w:r>
    </w:p>
    <w:p w14:paraId="7D401DFA">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10. Youth and Sports Department:</w:t>
      </w:r>
    </w:p>
    <w:p w14:paraId="7B2FA094">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Youth and Sports Department works to engage young people in educational and recreational activities, promoting physical fitness and providing opportunities for youth empowerment. It organizes sports competitions, training programs, and other initiatives aimed at youth development.</w:t>
      </w:r>
    </w:p>
    <w:p w14:paraId="39ABBFC4">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11. Works and Housing Department:</w:t>
      </w:r>
    </w:p>
    <w:p w14:paraId="5A9C0F39">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is responsible for ensuring the provision of affordable housing and promoting effective land use within the local government area. It handles urban planning, housing projects, and land administration to facilitate organized growth.</w:t>
      </w:r>
    </w:p>
    <w:p w14:paraId="4D923B02">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12. Transport Department:</w:t>
      </w:r>
    </w:p>
    <w:p w14:paraId="7FDA6AA6">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Responsible for managing transportation services within the local government. This includes regulating the activities of commercial transport operators, ensuring the safety of road users, and improving the road transport system.</w:t>
      </w:r>
    </w:p>
    <w:p w14:paraId="32733F51">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13. Legal and Administration Department:</w:t>
      </w:r>
    </w:p>
    <w:p w14:paraId="33549DFC">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handles the legal and administrative functions of the local government. It manages legal documents, contracts, disputes, and ensures the local government complies with the laws and regulations of the state and federal government.</w:t>
      </w:r>
    </w:p>
    <w:p w14:paraId="59571A93">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14. Women and Gender Affairs Department:</w:t>
      </w:r>
    </w:p>
    <w:p w14:paraId="2EDB080A">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Women and Gender Affairs Department focuses on promoting gender equality and empowering women within the local government area. It ensures that women have access to education, healthcare, economic opportunities, and are actively involved in governance and decision-making.</w:t>
      </w:r>
    </w:p>
    <w:p w14:paraId="2281957F">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15. Security and Safety Department:</w:t>
      </w:r>
    </w:p>
    <w:p w14:paraId="75E91233">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works to maintain law and order within the local government area. It collaborates with police and other security agencies to ensure the safety of residents, prevent crime, and manage emergencies or disasters.</w:t>
      </w:r>
    </w:p>
    <w:p w14:paraId="3EE48050">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16. Tourism and Cultural Affairs Department:</w:t>
      </w:r>
    </w:p>
    <w:p w14:paraId="1721C014">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Tourism and Cultural Affairs Department is responsible for promoting the local government’s cultural heritage, tourism potentials, and organizing events that celebrate the region’s traditions, festivals, and historical landmarks.</w:t>
      </w:r>
    </w:p>
    <w:p w14:paraId="537DF367">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17. Planning and Research Department:</w:t>
      </w:r>
    </w:p>
    <w:p w14:paraId="2C790029">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focuses on planning and coordinating development activities, ensuring that the local government's projects are well-researched and aligned with the needs of the community. It also handles data collection and analysis for effective decision-making.</w:t>
      </w:r>
    </w:p>
    <w:p w14:paraId="59955381">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18. Information and Public Relations Department:</w:t>
      </w:r>
    </w:p>
    <w:p w14:paraId="48BB10A6">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The Information and Public Relations Department is tasked with managing the local government's communication with the public. It disseminates information about government programs, initiatives, and policies, and handles media relations to ensure transparency.</w:t>
      </w:r>
    </w:p>
    <w:p w14:paraId="5540711F">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19. Emergency and Disaster Management Department:</w:t>
      </w:r>
    </w:p>
    <w:p w14:paraId="739FABB2">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is responsible for managing and coordinating responses to natural disasters, emergencies, and other crises. It implements preparedness programs, disaster response plans, and recovery efforts in times of need.</w:t>
      </w:r>
    </w:p>
    <w:p w14:paraId="7990AB09">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20. Civic Engagement and Public Affairs Department:</w:t>
      </w:r>
    </w:p>
    <w:p w14:paraId="0006376B">
      <w:pPr>
        <w:jc w:val="both"/>
        <w:rPr>
          <w:rFonts w:hint="default" w:ascii="Times New Roman" w:hAnsi="Times New Roman" w:eastAsia="Wingdings"/>
          <w:b w:val="0"/>
          <w:bCs/>
          <w:sz w:val="24"/>
          <w:szCs w:val="24"/>
          <w:lang w:val="en-GB"/>
        </w:rPr>
      </w:pPr>
      <w:r>
        <w:rPr>
          <w:rFonts w:hint="default" w:ascii="Times New Roman" w:hAnsi="Times New Roman" w:eastAsia="Wingdings"/>
          <w:b w:val="0"/>
          <w:bCs/>
          <w:sz w:val="24"/>
          <w:szCs w:val="24"/>
          <w:lang w:val="en-GB"/>
        </w:rPr>
        <w:t>This department focuses on engaging citizens in governance by organizing town hall meetings, consultations, and outreach programs. It ensures that residents have a voice in the local government's decision-making processes and are aware of their rights and responsibilities.</w:t>
      </w:r>
    </w:p>
    <w:p w14:paraId="5189DC88">
      <w:pPr>
        <w:rPr>
          <w:rFonts w:ascii="Times New Roman" w:hAnsi="Times New Roman" w:eastAsia="Wingdings" w:cs="Times New Roman"/>
          <w:b/>
          <w:bCs/>
          <w:sz w:val="24"/>
          <w:szCs w:val="24"/>
          <w:lang w:val="en-GB"/>
        </w:rPr>
      </w:pPr>
    </w:p>
    <w:p w14:paraId="3FB1E823">
      <w:pPr>
        <w:rPr>
          <w:rFonts w:ascii="Times New Roman" w:hAnsi="Times New Roman" w:eastAsia="Wingdings" w:cs="Times New Roman"/>
          <w:b/>
          <w:bCs/>
          <w:sz w:val="24"/>
          <w:szCs w:val="24"/>
          <w:lang w:val="en-GB"/>
        </w:rPr>
      </w:pPr>
      <w:r>
        <w:rPr>
          <w:rFonts w:ascii="Times New Roman" w:hAnsi="Times New Roman" w:eastAsia="Wingdings" w:cs="Times New Roman"/>
          <w:b/>
          <w:bCs/>
          <w:sz w:val="24"/>
          <w:szCs w:val="24"/>
          <w:lang w:val="en-GB"/>
        </w:rPr>
        <w:br w:type="page"/>
      </w:r>
    </w:p>
    <w:p w14:paraId="1EB489EF">
      <w:pPr>
        <w:jc w:val="center"/>
        <w:rPr>
          <w:rFonts w:ascii="Times New Roman" w:hAnsi="Times New Roman" w:eastAsia="Wingdings" w:cs="Times New Roman"/>
          <w:b/>
          <w:bCs/>
          <w:sz w:val="24"/>
          <w:szCs w:val="24"/>
          <w:lang w:val="en-GB"/>
        </w:rPr>
      </w:pPr>
      <w:r>
        <w:rPr>
          <w:rFonts w:ascii="Times New Roman" w:hAnsi="Times New Roman" w:eastAsia="Wingdings" w:cs="Times New Roman"/>
          <w:b/>
          <w:bCs/>
          <w:sz w:val="24"/>
          <w:szCs w:val="24"/>
          <w:lang w:val="en-GB"/>
        </w:rPr>
        <w:t>CHAPTER THREE</w:t>
      </w:r>
    </w:p>
    <w:p w14:paraId="1EB489F0">
      <w:pPr>
        <w:jc w:val="center"/>
        <w:rPr>
          <w:rFonts w:ascii="Times New Roman" w:hAnsi="Times New Roman" w:eastAsia="Wingdings" w:cs="Times New Roman"/>
          <w:b/>
          <w:bCs/>
          <w:sz w:val="24"/>
          <w:szCs w:val="24"/>
          <w:lang w:val="en-GB"/>
        </w:rPr>
      </w:pPr>
      <w:bookmarkStart w:id="0" w:name="_Toc346657164"/>
      <w:r>
        <w:rPr>
          <w:rFonts w:ascii="Times New Roman" w:hAnsi="Times New Roman" w:eastAsia="Wingdings" w:cs="Times New Roman"/>
          <w:b/>
          <w:bCs/>
          <w:sz w:val="24"/>
          <w:szCs w:val="24"/>
          <w:lang w:val="en-GB"/>
        </w:rPr>
        <w:t>NATURE OF WORK, ACTIVITIES, SKILLS AND EXPERIENCE GAINED ON SIWES SITE</w:t>
      </w:r>
      <w:bookmarkEnd w:id="0"/>
    </w:p>
    <w:p w14:paraId="77AD8E4C">
      <w:pPr>
        <w:jc w:val="both"/>
        <w:rPr>
          <w:rFonts w:hint="default" w:ascii="Times New Roman" w:hAnsi="Times New Roman"/>
          <w:sz w:val="24"/>
          <w:szCs w:val="24"/>
          <w:lang w:val="en-GB"/>
        </w:rPr>
      </w:pPr>
      <w:r>
        <w:rPr>
          <w:rFonts w:hint="default" w:ascii="Times New Roman" w:hAnsi="Times New Roman"/>
          <w:sz w:val="24"/>
          <w:szCs w:val="24"/>
          <w:lang w:val="en-GB"/>
        </w:rPr>
        <w:t>During my SIWES experience in the Department of Pension and Gratuity at the local government, I gained valuable insights into the intricacies of salary payments and the role of pension management within the local government system. One of the key areas I focused on was understanding how salary payment vouchers are processed, and how they intersect with pension and gratuity systems.</w:t>
      </w:r>
    </w:p>
    <w:p w14:paraId="54376C22">
      <w:pPr>
        <w:jc w:val="both"/>
        <w:rPr>
          <w:rFonts w:hint="default" w:ascii="Times New Roman" w:hAnsi="Times New Roman"/>
          <w:sz w:val="24"/>
          <w:szCs w:val="24"/>
          <w:lang w:val="en-GB"/>
        </w:rPr>
      </w:pPr>
      <w:r>
        <w:rPr>
          <w:rFonts w:hint="default" w:ascii="Times New Roman" w:hAnsi="Times New Roman"/>
          <w:sz w:val="24"/>
          <w:szCs w:val="24"/>
          <w:lang w:val="en-GB"/>
        </w:rPr>
        <w:t>In a local government setting, salary payments are usually documented through salary payment vouchers. These vouchers serve as proof of payment for employees and are critical in ensuring that all workers receive their due salaries on time. My role involved assisting in the preparation, verification, and processing of these vouchers, ensuring they align with the accurate salary scales and payment schedules for each employee.</w:t>
      </w:r>
    </w:p>
    <w:p w14:paraId="331F2815">
      <w:pPr>
        <w:jc w:val="both"/>
        <w:rPr>
          <w:rFonts w:hint="default" w:ascii="Times New Roman" w:hAnsi="Times New Roman"/>
          <w:sz w:val="24"/>
          <w:szCs w:val="24"/>
          <w:lang w:val="en-GB"/>
        </w:rPr>
      </w:pPr>
      <w:r>
        <w:rPr>
          <w:rFonts w:hint="default" w:ascii="Times New Roman" w:hAnsi="Times New Roman"/>
          <w:sz w:val="24"/>
          <w:szCs w:val="24"/>
          <w:lang w:val="en-GB"/>
        </w:rPr>
        <w:t>A key learning point was understanding the process of cross-referencing the salary payment vouchers with personnel records. This involves ensuring that employees' details, such as names, employment status, and salaries, are correctly captured in the system. Any discrepancies found between the vouchers and the records would need to be resolved to ensure accurate payment and prevent issues such as overpayment or underpayment.</w:t>
      </w:r>
    </w:p>
    <w:p w14:paraId="106BA0AC">
      <w:pPr>
        <w:jc w:val="both"/>
        <w:rPr>
          <w:rFonts w:hint="default" w:ascii="Times New Roman" w:hAnsi="Times New Roman"/>
          <w:sz w:val="24"/>
          <w:szCs w:val="24"/>
          <w:lang w:val="en-GB"/>
        </w:rPr>
      </w:pPr>
      <w:r>
        <w:rPr>
          <w:rFonts w:hint="default" w:ascii="Times New Roman" w:hAnsi="Times New Roman"/>
          <w:sz w:val="24"/>
          <w:szCs w:val="24"/>
          <w:lang w:val="en-GB"/>
        </w:rPr>
        <w:t>The processing of pension contributions from salaries also came into focus during my experience. Every employee’s salary payment is tied to their pension contributions, which are usually a percentage of their monthly salary. As part of the voucher verification process, I learned how to calculate these contributions and ensure that the correct amounts are deducted and remitted to the relevant pension fund administrators. This helped me understand the direct relationship between salary payments and pension benefits.</w:t>
      </w:r>
    </w:p>
    <w:p w14:paraId="2AD3D5DC">
      <w:pPr>
        <w:jc w:val="both"/>
        <w:rPr>
          <w:rFonts w:hint="default" w:ascii="Times New Roman" w:hAnsi="Times New Roman"/>
          <w:sz w:val="24"/>
          <w:szCs w:val="24"/>
          <w:lang w:val="en-GB"/>
        </w:rPr>
      </w:pPr>
      <w:r>
        <w:rPr>
          <w:rFonts w:hint="default" w:ascii="Times New Roman" w:hAnsi="Times New Roman"/>
          <w:sz w:val="24"/>
          <w:szCs w:val="24"/>
          <w:lang w:val="en-GB"/>
        </w:rPr>
        <w:t>Additionally, I assisted in ensuring that pension and gratuity records were kept up to date. When employees retired or left service, their pension and gratuity entitlements had to be calculated based on their salaries, length of service, and other factors. The salary payment vouchers played a vital role here, as they provided the official documentation needed to calculate the final retirement benefits. I gained hands-on experience in reviewing these documents, ensuring that pensioners received their entitlements accurately and in a timely manner.</w:t>
      </w:r>
    </w:p>
    <w:p w14:paraId="2D15BC51">
      <w:pPr>
        <w:jc w:val="both"/>
        <w:rPr>
          <w:rFonts w:hint="default" w:ascii="Times New Roman" w:hAnsi="Times New Roman"/>
          <w:sz w:val="24"/>
          <w:szCs w:val="24"/>
          <w:lang w:val="en-GB"/>
        </w:rPr>
      </w:pPr>
      <w:r>
        <w:rPr>
          <w:rFonts w:hint="default" w:ascii="Times New Roman" w:hAnsi="Times New Roman"/>
          <w:sz w:val="24"/>
          <w:szCs w:val="24"/>
          <w:lang w:val="en-GB"/>
        </w:rPr>
        <w:t>Another important aspect of my work involved assisting in reconciling pension funds with the records of salary payments. This reconciliation process ensured that all contributions deducted from employees' salaries were properly credited to their pension accounts. It also helped to identify any discrepancies, such as missed payments or errors in calculations, which could affect pension fund management and employee retirement security.</w:t>
      </w:r>
    </w:p>
    <w:p w14:paraId="4AFDA3CA">
      <w:pPr>
        <w:jc w:val="both"/>
        <w:rPr>
          <w:rFonts w:hint="default" w:ascii="Times New Roman" w:hAnsi="Times New Roman"/>
          <w:sz w:val="24"/>
          <w:szCs w:val="24"/>
          <w:lang w:val="en-GB"/>
        </w:rPr>
      </w:pPr>
      <w:r>
        <w:rPr>
          <w:rFonts w:hint="default" w:ascii="Times New Roman" w:hAnsi="Times New Roman"/>
          <w:sz w:val="24"/>
          <w:szCs w:val="24"/>
          <w:lang w:val="en-GB"/>
        </w:rPr>
        <w:t>Throughout my time in the department, I also became familiar with the use of pension management software and salary payment systems. These digital tools helped streamline the process of generating and tracking payment vouchers, pension contributions, and gratuity calculations. I learned how to input data into these systems, generate reports, and assist with the administration of pension benefits, all of which contributed to a more efficient and transparent payment system.</w:t>
      </w:r>
    </w:p>
    <w:p w14:paraId="07A3D175">
      <w:pPr>
        <w:jc w:val="both"/>
        <w:rPr>
          <w:rFonts w:hint="default" w:ascii="Times New Roman" w:hAnsi="Times New Roman"/>
          <w:sz w:val="24"/>
          <w:szCs w:val="24"/>
          <w:lang w:val="en-GB"/>
        </w:rPr>
      </w:pPr>
      <w:r>
        <w:rPr>
          <w:rFonts w:hint="default" w:ascii="Times New Roman" w:hAnsi="Times New Roman"/>
          <w:sz w:val="24"/>
          <w:szCs w:val="24"/>
          <w:lang w:val="en-GB"/>
        </w:rPr>
        <w:t>Working alongside other departments, such as Human Resources and Finance, provided additional insights into the holistic nature of salary and pension management. For instance, I collaborated with the HR department to ensure that all newly hired employees were properly enrolled in the pension scheme and that their salaries were correctly reflected in the payment vouchers. I also liaised with the Finance department to ensure that salary payments and pension deductions were reconciled and that all transactions were transparent.</w:t>
      </w:r>
    </w:p>
    <w:p w14:paraId="44ED1687">
      <w:pPr>
        <w:jc w:val="both"/>
        <w:rPr>
          <w:rFonts w:hint="default" w:ascii="Times New Roman" w:hAnsi="Times New Roman"/>
          <w:sz w:val="24"/>
          <w:szCs w:val="24"/>
          <w:lang w:val="en-GB"/>
        </w:rPr>
      </w:pPr>
      <w:r>
        <w:rPr>
          <w:rFonts w:hint="default" w:ascii="Times New Roman" w:hAnsi="Times New Roman"/>
          <w:sz w:val="24"/>
          <w:szCs w:val="24"/>
          <w:lang w:val="en-GB"/>
        </w:rPr>
        <w:t>I also observed the process of addressing salary disputes, where employees may have concerns regarding discrepancies in their salary payments or pension deductions. My role was to assist in resolving these issues by reviewing the salary payment vouchers, verifying the calculations, and ensuring that employees received the correct amounts. This experience taught me the importance of maintaining clear, accurate records and providing prompt responses to employee queries.</w:t>
      </w:r>
    </w:p>
    <w:p w14:paraId="50985161">
      <w:pPr>
        <w:jc w:val="both"/>
        <w:rPr>
          <w:rFonts w:hint="default" w:ascii="Times New Roman" w:hAnsi="Times New Roman"/>
          <w:sz w:val="24"/>
          <w:szCs w:val="24"/>
          <w:lang w:val="en-GB"/>
        </w:rPr>
      </w:pPr>
      <w:r>
        <w:rPr>
          <w:rFonts w:hint="default" w:ascii="Times New Roman" w:hAnsi="Times New Roman"/>
          <w:sz w:val="24"/>
          <w:szCs w:val="24"/>
          <w:lang w:val="en-GB"/>
        </w:rPr>
        <w:t>In terms of administrative tasks, I gained experience in managing the paper trail associated with salary payments. This involved organizing and filing salary vouchers, pension records, and retirement documents, ensuring that they were easily accessible for audits or future reference. Proper record-keeping is crucial in a government setting to maintain transparency and accountability, and I learned how to handle this sensitive information with care and diligence.</w:t>
      </w:r>
    </w:p>
    <w:p w14:paraId="2929CA5A">
      <w:pPr>
        <w:jc w:val="both"/>
        <w:rPr>
          <w:rFonts w:hint="default" w:ascii="Times New Roman" w:hAnsi="Times New Roman"/>
          <w:sz w:val="24"/>
          <w:szCs w:val="24"/>
          <w:lang w:val="en-GB"/>
        </w:rPr>
      </w:pPr>
      <w:r>
        <w:rPr>
          <w:rFonts w:hint="default" w:ascii="Times New Roman" w:hAnsi="Times New Roman"/>
          <w:sz w:val="24"/>
          <w:szCs w:val="24"/>
          <w:lang w:val="en-GB"/>
        </w:rPr>
        <w:t>Furthermore, I learned about the broader implications of salary payments and pension management on employee morale and retention. Timely salary payments and well-managed pension schemes are crucial in maintaining employee satisfaction and ensuring that workers feel secure in their retirement planning. This was particularly evident when processing the gratuity payments for retiring employees, where I saw the positive impact of a well-executed pension scheme on employees’ post-retirement lives.</w:t>
      </w:r>
    </w:p>
    <w:p w14:paraId="39096D8A">
      <w:pPr>
        <w:jc w:val="both"/>
        <w:rPr>
          <w:rFonts w:hint="default" w:ascii="Times New Roman" w:hAnsi="Times New Roman"/>
          <w:sz w:val="24"/>
          <w:szCs w:val="24"/>
          <w:lang w:val="en-GB"/>
        </w:rPr>
      </w:pPr>
      <w:r>
        <w:rPr>
          <w:rFonts w:hint="default" w:ascii="Times New Roman" w:hAnsi="Times New Roman"/>
          <w:sz w:val="24"/>
          <w:szCs w:val="24"/>
          <w:lang w:val="en-GB"/>
        </w:rPr>
        <w:t>In addition to practical skills, I also developed a deeper understanding of the legal frameworks governing pension administration. During my SIWES placement, I became familiar with the Pension Reform Act and other relevant laws that guide pension management, ensuring compliance and protecting employees' rights to their retirement benefits. This experience helped me understand the critical role the local government plays in safeguarding the welfare of its workforce, both during their employment and after retirement.</w:t>
      </w:r>
    </w:p>
    <w:p w14:paraId="6BAF008F">
      <w:pPr>
        <w:jc w:val="both"/>
        <w:rPr>
          <w:rFonts w:hint="default" w:ascii="Times New Roman" w:hAnsi="Times New Roman"/>
          <w:sz w:val="24"/>
          <w:szCs w:val="24"/>
          <w:lang w:val="en-GB"/>
        </w:rPr>
      </w:pPr>
      <w:r>
        <w:rPr>
          <w:rFonts w:hint="default" w:ascii="Times New Roman" w:hAnsi="Times New Roman"/>
          <w:sz w:val="24"/>
          <w:szCs w:val="24"/>
          <w:lang w:val="en-GB"/>
        </w:rPr>
        <w:t>I also gained experience in using various financial tools and software that helped in managing and processing salary payments and pension deductions. Learning to navigate these systems gave me a technical edge in understanding the digital aspect of salary and pension administration, which is increasingly important in modern governance.</w:t>
      </w:r>
    </w:p>
    <w:p w14:paraId="7C47658B">
      <w:pPr>
        <w:jc w:val="both"/>
        <w:rPr>
          <w:rFonts w:hint="default" w:ascii="Times New Roman" w:hAnsi="Times New Roman"/>
          <w:sz w:val="24"/>
          <w:szCs w:val="24"/>
          <w:lang w:val="en-GB"/>
        </w:rPr>
      </w:pPr>
      <w:r>
        <w:rPr>
          <w:rFonts w:hint="default" w:ascii="Times New Roman" w:hAnsi="Times New Roman"/>
          <w:sz w:val="24"/>
          <w:szCs w:val="24"/>
          <w:lang w:val="en-US"/>
        </w:rPr>
        <w:t>M</w:t>
      </w:r>
      <w:r>
        <w:rPr>
          <w:rFonts w:hint="default" w:ascii="Times New Roman" w:hAnsi="Times New Roman"/>
          <w:sz w:val="24"/>
          <w:szCs w:val="24"/>
          <w:lang w:val="en-GB"/>
        </w:rPr>
        <w:t>y time in the Department of Pension and Gratuity at the local government not only gave me practical knowledge of pension management but also deepened my understanding of the critical processes involved in salary payment and record-keeping. From processing salary payment vouchers to ensuring accurate pension deductions, my experience provided a comprehensive view of the intersection between salary management and retirement benefits. This hands-on experience has equipped me with valuable skills that will be essential in my future career in public administration, finance, or human resources.</w:t>
      </w:r>
    </w:p>
    <w:p w14:paraId="6F2198A9">
      <w:pPr>
        <w:rPr>
          <w:rFonts w:hint="default" w:ascii="Times New Roman" w:hAnsi="Times New Roman"/>
          <w:sz w:val="24"/>
          <w:szCs w:val="24"/>
          <w:lang w:val="en-GB"/>
        </w:rPr>
      </w:pPr>
    </w:p>
    <w:p w14:paraId="1EB48A00">
      <w:pPr>
        <w:jc w:val="center"/>
        <w:rPr>
          <w:rFonts w:ascii="Times New Roman" w:hAnsi="Times New Roman" w:cs="Times New Roman"/>
          <w:b/>
          <w:bCs/>
          <w:sz w:val="26"/>
          <w:szCs w:val="26"/>
        </w:rPr>
      </w:pPr>
      <w:r>
        <w:rPr>
          <w:rFonts w:ascii="Times New Roman" w:hAnsi="Times New Roman" w:cs="Times New Roman"/>
          <w:b/>
          <w:bCs/>
          <w:sz w:val="26"/>
          <w:szCs w:val="26"/>
        </w:rPr>
        <w:t>CHAPTER 4</w:t>
      </w:r>
    </w:p>
    <w:p w14:paraId="1EB48A01">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1EB48A02">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1EB48A03">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equipments.</w:t>
      </w:r>
    </w:p>
    <w:p w14:paraId="1EB48A04">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was able to relate most of my theorectical aspect taught in class to the physical aspect in the organisation.</w:t>
      </w:r>
    </w:p>
    <w:p w14:paraId="1EB48A05">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1EB48A06">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also improved inmy underdstanding of some stages.</w:t>
      </w:r>
    </w:p>
    <w:p w14:paraId="1EB48A07">
      <w:pPr>
        <w:jc w:val="both"/>
        <w:rPr>
          <w:rFonts w:ascii="Times New Roman" w:hAnsi="Times New Roman" w:cs="Times New Roman"/>
          <w:sz w:val="26"/>
          <w:szCs w:val="26"/>
        </w:rPr>
      </w:pPr>
    </w:p>
    <w:p w14:paraId="1EB48A08">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EB48A09">
      <w:pPr>
        <w:keepNext w:val="0"/>
        <w:keepLines w:val="0"/>
        <w:widowControl/>
        <w:suppressLineNumbers w:val="0"/>
        <w:spacing w:before="0" w:beforeAutospacing="1" w:after="160" w:afterAutospacing="0" w:line="256" w:lineRule="auto"/>
        <w:ind w:left="0" w:right="0"/>
        <w:jc w:val="left"/>
        <w:rPr>
          <w:rFonts w:ascii="Times New Roman" w:hAnsi="Times New Roman" w:cs="Times New Roman"/>
          <w:sz w:val="26"/>
          <w:szCs w:val="26"/>
        </w:rPr>
      </w:pPr>
      <w:r>
        <w:rPr>
          <w:rFonts w:ascii="Times New Roman" w:hAnsi="Times New Roman" w:cs="Times New Roman"/>
          <w:sz w:val="26"/>
          <w:szCs w:val="26"/>
        </w:rPr>
        <w:t xml:space="preserve">The entire staff of </w:t>
      </w:r>
      <w:r>
        <w:rPr>
          <w:rFonts w:hint="default" w:ascii="Times New Roman" w:hAnsi="Times New Roman" w:cs="Times New Roman"/>
          <w:sz w:val="26"/>
          <w:szCs w:val="26"/>
          <w:lang w:val="en-US"/>
        </w:rPr>
        <w:t xml:space="preserve"> </w:t>
      </w:r>
      <w:r>
        <w:rPr>
          <w:rFonts w:hint="default" w:ascii="Times New Roman" w:hAnsi="Times New Roman"/>
          <w:b/>
          <w:bCs/>
          <w:sz w:val="24"/>
          <w:szCs w:val="24"/>
        </w:rPr>
        <w:t>ILORIN SOUTH LOCAL GOVERNMENT</w:t>
      </w:r>
      <w:r>
        <w:rPr>
          <w:rFonts w:ascii="Times New Roman" w:hAnsi="Times New Roman" w:cs="Times New Roman"/>
          <w:sz w:val="26"/>
          <w:szCs w:val="26"/>
        </w:rPr>
        <w:t>, taught me on how to manage the company and how to work as a team in any organisation.</w:t>
      </w:r>
    </w:p>
    <w:p w14:paraId="183D29DD">
      <w:pPr>
        <w:rPr>
          <w:rFonts w:ascii="Times New Roman" w:hAnsi="Times New Roman" w:cs="Times New Roman"/>
          <w:b/>
          <w:sz w:val="26"/>
          <w:szCs w:val="26"/>
        </w:rPr>
      </w:pPr>
      <w:r>
        <w:rPr>
          <w:rFonts w:ascii="Times New Roman" w:hAnsi="Times New Roman" w:cs="Times New Roman"/>
          <w:b/>
          <w:sz w:val="26"/>
          <w:szCs w:val="26"/>
        </w:rPr>
        <w:br w:type="page"/>
      </w:r>
    </w:p>
    <w:p w14:paraId="1EB48A0D">
      <w:pPr>
        <w:jc w:val="center"/>
        <w:rPr>
          <w:rFonts w:ascii="Times New Roman" w:hAnsi="Times New Roman" w:cs="Times New Roman"/>
          <w:b/>
          <w:sz w:val="24"/>
          <w:szCs w:val="24"/>
        </w:rPr>
      </w:pPr>
      <w:r>
        <w:rPr>
          <w:rFonts w:ascii="Times New Roman" w:hAnsi="Times New Roman" w:cs="Times New Roman"/>
          <w:b/>
          <w:sz w:val="24"/>
          <w:szCs w:val="24"/>
        </w:rPr>
        <w:t>CHAPTER FIVE</w:t>
      </w:r>
    </w:p>
    <w:p w14:paraId="1EB48A0E">
      <w:pPr>
        <w:jc w:val="center"/>
        <w:rPr>
          <w:rFonts w:ascii="Times New Roman" w:hAnsi="Times New Roman" w:cs="Times New Roman"/>
          <w:b/>
          <w:sz w:val="24"/>
          <w:szCs w:val="24"/>
        </w:rPr>
      </w:pPr>
      <w:r>
        <w:rPr>
          <w:rFonts w:ascii="Times New Roman" w:hAnsi="Times New Roman" w:cs="Times New Roman"/>
          <w:b/>
          <w:sz w:val="24"/>
          <w:szCs w:val="24"/>
        </w:rPr>
        <w:t>PROBLEMS ENCOUNTERS, RECOMMENDATIONS AND CONCLUSIONS</w:t>
      </w:r>
    </w:p>
    <w:p w14:paraId="1EB48A0F">
      <w:pPr>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Difficulties Encountered During the Programme</w:t>
      </w:r>
    </w:p>
    <w:p w14:paraId="1EB48A10">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EB48A11">
      <w:pPr>
        <w:jc w:val="both"/>
        <w:rPr>
          <w:rFonts w:ascii="Times New Roman" w:hAnsi="Times New Roman" w:cs="Times New Roman"/>
          <w:b/>
          <w:sz w:val="24"/>
          <w:szCs w:val="24"/>
        </w:rPr>
      </w:pPr>
      <w:r>
        <w:rPr>
          <w:rFonts w:ascii="Times New Roman" w:hAnsi="Times New Roman" w:cs="Times New Roman"/>
          <w:sz w:val="24"/>
          <w:szCs w:val="24"/>
        </w:rPr>
        <w:t>1. Problems of Securing a Place of Attachment</w:t>
      </w:r>
    </w:p>
    <w:p w14:paraId="1EB48A12">
      <w:pPr>
        <w:jc w:val="both"/>
        <w:rPr>
          <w:rFonts w:ascii="Times New Roman" w:hAnsi="Times New Roman" w:cs="Times New Roman"/>
          <w:sz w:val="24"/>
          <w:szCs w:val="24"/>
        </w:rPr>
      </w:pPr>
      <w:r>
        <w:rPr>
          <w:rFonts w:ascii="Times New Roman" w:hAnsi="Times New Roman" w:cs="Times New Roman"/>
          <w:sz w:val="24"/>
          <w:szCs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EB48A13">
      <w:pPr>
        <w:jc w:val="both"/>
        <w:rPr>
          <w:rFonts w:ascii="Times New Roman" w:hAnsi="Times New Roman" w:cs="Times New Roman"/>
          <w:sz w:val="24"/>
          <w:szCs w:val="24"/>
        </w:rPr>
      </w:pPr>
      <w:r>
        <w:rPr>
          <w:rFonts w:ascii="Times New Roman" w:hAnsi="Times New Roman" w:cs="Times New Roman"/>
          <w:sz w:val="24"/>
          <w:szCs w:val="24"/>
        </w:rPr>
        <w:t>2. Working Time</w:t>
      </w:r>
    </w:p>
    <w:p w14:paraId="1EB48A1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EB48A15">
      <w:pPr>
        <w:jc w:val="both"/>
        <w:rPr>
          <w:rFonts w:ascii="Times New Roman" w:hAnsi="Times New Roman" w:cs="Times New Roman"/>
          <w:sz w:val="24"/>
          <w:szCs w:val="24"/>
        </w:rPr>
      </w:pPr>
      <w:r>
        <w:rPr>
          <w:rFonts w:ascii="Times New Roman" w:hAnsi="Times New Roman" w:cs="Times New Roman"/>
          <w:sz w:val="24"/>
          <w:szCs w:val="24"/>
        </w:rPr>
        <w:t xml:space="preserve"> 3. Finance</w:t>
      </w:r>
    </w:p>
    <w:p w14:paraId="1EB48A1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EB48A17">
      <w:pPr>
        <w:jc w:val="both"/>
        <w:rPr>
          <w:rFonts w:ascii="Times New Roman" w:hAnsi="Times New Roman" w:cs="Times New Roman"/>
          <w:sz w:val="24"/>
          <w:szCs w:val="24"/>
        </w:rPr>
      </w:pPr>
      <w:r>
        <w:rPr>
          <w:rFonts w:ascii="Times New Roman" w:hAnsi="Times New Roman" w:cs="Times New Roman"/>
          <w:sz w:val="24"/>
          <w:szCs w:val="24"/>
        </w:rPr>
        <w:t>4. Inaccessible Machines</w:t>
      </w:r>
    </w:p>
    <w:p w14:paraId="1EB48A18">
      <w:pPr>
        <w:ind w:firstLine="720"/>
        <w:jc w:val="both"/>
        <w:rPr>
          <w:rFonts w:ascii="Times New Roman" w:hAnsi="Times New Roman" w:cs="Times New Roman"/>
          <w:sz w:val="24"/>
          <w:szCs w:val="24"/>
        </w:rPr>
      </w:pPr>
      <w:r>
        <w:rPr>
          <w:rFonts w:ascii="Times New Roman" w:hAnsi="Times New Roman" w:cs="Times New Roman"/>
          <w:sz w:val="24"/>
          <w:szCs w:val="24"/>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EB48A19">
      <w:pPr>
        <w:jc w:val="both"/>
        <w:rPr>
          <w:rFonts w:ascii="Times New Roman" w:hAnsi="Times New Roman" w:cs="Times New Roman"/>
          <w:sz w:val="24"/>
          <w:szCs w:val="24"/>
        </w:rPr>
      </w:pPr>
      <w:r>
        <w:rPr>
          <w:rFonts w:ascii="Times New Roman" w:hAnsi="Times New Roman" w:cs="Times New Roman"/>
          <w:sz w:val="24"/>
          <w:szCs w:val="24"/>
        </w:rPr>
        <w:t>The difficulties encountered during the programme among others include;</w:t>
      </w:r>
    </w:p>
    <w:p w14:paraId="1EB48A1A">
      <w:pPr>
        <w:numPr>
          <w:ilvl w:val="0"/>
          <w:numId w:val="5"/>
        </w:numPr>
        <w:jc w:val="both"/>
        <w:rPr>
          <w:rFonts w:ascii="Times New Roman" w:hAnsi="Times New Roman" w:cs="Times New Roman"/>
          <w:sz w:val="24"/>
          <w:szCs w:val="24"/>
        </w:rPr>
      </w:pPr>
      <w:r>
        <w:rPr>
          <w:rFonts w:ascii="Times New Roman" w:hAnsi="Times New Roman" w:cs="Times New Roman"/>
          <w:sz w:val="24"/>
          <w:szCs w:val="24"/>
        </w:rPr>
        <w:t>Inadequate monitoring of students on industrial training;</w:t>
      </w:r>
    </w:p>
    <w:p w14:paraId="1EB48A1B">
      <w:pPr>
        <w:numPr>
          <w:ilvl w:val="0"/>
          <w:numId w:val="5"/>
        </w:numPr>
        <w:jc w:val="both"/>
        <w:rPr>
          <w:rFonts w:ascii="Times New Roman" w:hAnsi="Times New Roman" w:cs="Times New Roman"/>
          <w:sz w:val="24"/>
          <w:szCs w:val="24"/>
        </w:rPr>
      </w:pPr>
      <w:r>
        <w:rPr>
          <w:rFonts w:ascii="Times New Roman" w:hAnsi="Times New Roman" w:cs="Times New Roman"/>
          <w:sz w:val="24"/>
          <w:szCs w:val="24"/>
        </w:rPr>
        <w:t>Lack of cooperation and support from organization;</w:t>
      </w:r>
    </w:p>
    <w:p w14:paraId="1EB48A1C">
      <w:pPr>
        <w:numPr>
          <w:ilvl w:val="0"/>
          <w:numId w:val="5"/>
        </w:numPr>
        <w:jc w:val="both"/>
        <w:rPr>
          <w:rFonts w:ascii="Times New Roman" w:hAnsi="Times New Roman" w:cs="Times New Roman"/>
          <w:sz w:val="24"/>
          <w:szCs w:val="24"/>
        </w:rPr>
      </w:pPr>
      <w:r>
        <w:rPr>
          <w:rFonts w:ascii="Times New Roman" w:hAnsi="Times New Roman" w:cs="Times New Roman"/>
          <w:sz w:val="24"/>
          <w:szCs w:val="24"/>
        </w:rPr>
        <w:t>Delay in release of fund for supervision and student’s industrial training allowances;</w:t>
      </w:r>
    </w:p>
    <w:p w14:paraId="1EB48A1E">
      <w:pPr>
        <w:numPr>
          <w:ilvl w:val="0"/>
          <w:numId w:val="5"/>
        </w:numPr>
        <w:jc w:val="both"/>
        <w:rPr>
          <w:rFonts w:ascii="Times New Roman" w:hAnsi="Times New Roman" w:cs="Times New Roman"/>
          <w:b/>
          <w:sz w:val="24"/>
          <w:szCs w:val="24"/>
        </w:rPr>
      </w:pPr>
      <w:r>
        <w:rPr>
          <w:rFonts w:ascii="Times New Roman" w:hAnsi="Times New Roman" w:cs="Times New Roman"/>
          <w:sz w:val="24"/>
          <w:szCs w:val="24"/>
        </w:rPr>
        <w:t>Student’s reports were not corrected.</w:t>
      </w:r>
    </w:p>
    <w:p w14:paraId="1EB48A1F">
      <w:pPr>
        <w:jc w:val="both"/>
        <w:rPr>
          <w:rFonts w:ascii="Times New Roman" w:hAnsi="Times New Roman" w:cs="Times New Roman"/>
          <w:sz w:val="24"/>
          <w:szCs w:val="24"/>
        </w:rPr>
      </w:pPr>
      <w:r>
        <w:rPr>
          <w:rFonts w:ascii="Times New Roman" w:hAnsi="Times New Roman" w:cs="Times New Roman"/>
          <w:b/>
          <w:sz w:val="24"/>
          <w:szCs w:val="24"/>
        </w:rPr>
        <w:t>5.2 RECOMMENDATIONS OF THE SCHEME WAYS OF IMPROVING THE PROGRAMME</w:t>
      </w:r>
    </w:p>
    <w:p w14:paraId="1EB48A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SIWES programme can be improved by the various actors in the programme which include the Federal Government of Nigeria (FGN), Industrial Training Fund (ITF), Supervisory Agencies (NUC, NCCE, and NBTE), the Institutions, and the Employers.</w:t>
      </w:r>
    </w:p>
    <w:p w14:paraId="1EB48A21">
      <w:pPr>
        <w:jc w:val="both"/>
        <w:rPr>
          <w:rFonts w:ascii="Times New Roman" w:hAnsi="Times New Roman" w:cs="Times New Roman"/>
          <w:b/>
          <w:sz w:val="24"/>
          <w:szCs w:val="24"/>
        </w:rPr>
      </w:pPr>
      <w:r>
        <w:rPr>
          <w:rFonts w:ascii="Times New Roman" w:hAnsi="Times New Roman" w:cs="Times New Roman"/>
          <w:b/>
          <w:sz w:val="24"/>
          <w:szCs w:val="24"/>
        </w:rPr>
        <w:t>A. The Federal Government of Nigeria</w:t>
      </w:r>
    </w:p>
    <w:p w14:paraId="1EB48A22">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Federal Government should make it mandatory to all ministries, companies, and other organization to offer placement and as well as accept students for industrial attachment.</w:t>
      </w:r>
    </w:p>
    <w:p w14:paraId="1EB48A23">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Federal Government should increase the fund being provided for the SIWES programme and other educational programmes in general for effective and productive implementation of the scheme.</w:t>
      </w:r>
    </w:p>
    <w:p w14:paraId="1EB48A24">
      <w:pPr>
        <w:jc w:val="both"/>
        <w:rPr>
          <w:rFonts w:ascii="Times New Roman" w:hAnsi="Times New Roman" w:cs="Times New Roman"/>
          <w:b/>
          <w:sz w:val="24"/>
          <w:szCs w:val="24"/>
        </w:rPr>
      </w:pPr>
      <w:r>
        <w:rPr>
          <w:rFonts w:ascii="Times New Roman" w:hAnsi="Times New Roman" w:cs="Times New Roman"/>
          <w:b/>
          <w:sz w:val="24"/>
          <w:szCs w:val="24"/>
        </w:rPr>
        <w:t>B. The Industrial Training Fund (ITF)</w:t>
      </w:r>
    </w:p>
    <w:p w14:paraId="1EB48A25">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Industrial Training Fund should provide a strong insurance policy covered for students on SIWES programme.</w:t>
      </w:r>
    </w:p>
    <w:p w14:paraId="1EB48A26">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ITF should provide logistic and material necessary for the effective administration of the scheme.</w:t>
      </w:r>
    </w:p>
    <w:p w14:paraId="1EB48A27">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ITF should formulate policies and guidelines for SIWES programme for enhancement to all SIWES participating bodies, institutions and companies involved in the scheme.</w:t>
      </w:r>
    </w:p>
    <w:p w14:paraId="1EB48A28">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ITF should provide information on companies for the attachment and help in the placement of students.</w:t>
      </w:r>
    </w:p>
    <w:p w14:paraId="1EB48A29">
      <w:pPr>
        <w:jc w:val="both"/>
        <w:rPr>
          <w:rFonts w:ascii="Times New Roman" w:hAnsi="Times New Roman" w:cs="Times New Roman"/>
          <w:b/>
          <w:sz w:val="24"/>
          <w:szCs w:val="24"/>
        </w:rPr>
      </w:pPr>
      <w:r>
        <w:rPr>
          <w:rFonts w:ascii="Times New Roman" w:hAnsi="Times New Roman" w:cs="Times New Roman"/>
          <w:b/>
          <w:sz w:val="24"/>
          <w:szCs w:val="24"/>
        </w:rPr>
        <w:t>C. The Supervisory Agency</w:t>
      </w:r>
    </w:p>
    <w:p w14:paraId="1EB48A2A">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supervisory agency should liaise with the Industrial Training Fund to ensure the implementation of all federal government policies on the scheme.</w:t>
      </w:r>
    </w:p>
    <w:p w14:paraId="1EB48A2B">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supervisory agency should ensure adequate funding of the SIWES unit in all the institutions for effective administration of the scheme.</w:t>
      </w:r>
    </w:p>
    <w:p w14:paraId="1EB48A2C">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supervisory agency should research into the development of the scheme in line with advances in technological development.</w:t>
      </w:r>
    </w:p>
    <w:p w14:paraId="1EB48A2D">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supervisory agency should develop, monitor and review job specification in collaboration with the institution toward the maintenance of the National Minimum Academic Standard for the entire programme approved for SIWES.</w:t>
      </w:r>
    </w:p>
    <w:p w14:paraId="1EB48A2E">
      <w:pPr>
        <w:jc w:val="both"/>
        <w:rPr>
          <w:rFonts w:ascii="Times New Roman" w:hAnsi="Times New Roman" w:cs="Times New Roman"/>
          <w:b/>
          <w:sz w:val="24"/>
          <w:szCs w:val="24"/>
        </w:rPr>
      </w:pPr>
      <w:r>
        <w:rPr>
          <w:rFonts w:ascii="Times New Roman" w:hAnsi="Times New Roman" w:cs="Times New Roman"/>
          <w:b/>
          <w:sz w:val="24"/>
          <w:szCs w:val="24"/>
        </w:rPr>
        <w:t>D. The Institution</w:t>
      </w:r>
    </w:p>
    <w:p w14:paraId="1EB48A2F">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Institution should help identify placement opportunities for student attachment with employers.</w:t>
      </w:r>
    </w:p>
    <w:p w14:paraId="1EB48A30">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Institution should ensure regular visitation of their students on industrial training to monitor their welfare and improvement status.</w:t>
      </w:r>
    </w:p>
    <w:p w14:paraId="1EB48A31">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Institution should have adequate information on some of the challenges facing the firm and the student; it should be noted and treated immediately.</w:t>
      </w:r>
    </w:p>
    <w:p w14:paraId="1EB48A32">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Institution should ensure payment of student’s allowances and other outstanding financial challenges.</w:t>
      </w:r>
    </w:p>
    <w:p w14:paraId="1EB48A33">
      <w:pPr>
        <w:jc w:val="both"/>
        <w:rPr>
          <w:rFonts w:ascii="Times New Roman" w:hAnsi="Times New Roman" w:cs="Times New Roman"/>
          <w:b/>
          <w:sz w:val="24"/>
          <w:szCs w:val="24"/>
        </w:rPr>
      </w:pPr>
      <w:r>
        <w:rPr>
          <w:rFonts w:ascii="Times New Roman" w:hAnsi="Times New Roman" w:cs="Times New Roman"/>
          <w:b/>
          <w:sz w:val="24"/>
          <w:szCs w:val="24"/>
        </w:rPr>
        <w:t>E. The Employer</w:t>
      </w:r>
    </w:p>
    <w:p w14:paraId="1EB48A34">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Employers should accept students for industrial training attachment.</w:t>
      </w:r>
    </w:p>
    <w:p w14:paraId="1EB48A35">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Employer should allow the students to have access to some of their useful equipment and other useful facilities.</w:t>
      </w:r>
    </w:p>
    <w:p w14:paraId="1EB48A36">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Employer should provide welfare services like drugs and other medication and show good hospitality to students.</w:t>
      </w:r>
    </w:p>
    <w:p w14:paraId="1EB48A37">
      <w:pPr>
        <w:jc w:val="both"/>
        <w:rPr>
          <w:rFonts w:ascii="Times New Roman" w:hAnsi="Times New Roman" w:cs="Times New Roman"/>
          <w:sz w:val="24"/>
          <w:szCs w:val="24"/>
        </w:rPr>
      </w:pPr>
      <w:r>
        <w:rPr>
          <w:rFonts w:ascii="Times New Roman" w:hAnsi="Times New Roman" w:cs="Times New Roman"/>
          <w:b/>
          <w:sz w:val="24"/>
          <w:szCs w:val="24"/>
        </w:rPr>
        <w:t>5.2.1</w:t>
      </w:r>
      <w:r>
        <w:rPr>
          <w:rFonts w:ascii="Times New Roman" w:hAnsi="Times New Roman" w:cs="Times New Roman"/>
          <w:b/>
          <w:sz w:val="24"/>
          <w:szCs w:val="24"/>
        </w:rPr>
        <w:tab/>
      </w:r>
      <w:r>
        <w:rPr>
          <w:rFonts w:ascii="Times New Roman" w:hAnsi="Times New Roman" w:cs="Times New Roman"/>
          <w:b/>
          <w:sz w:val="24"/>
          <w:szCs w:val="24"/>
        </w:rPr>
        <w:t>Advice for Future Participants</w:t>
      </w:r>
    </w:p>
    <w:p w14:paraId="1EB48A38">
      <w:pPr>
        <w:jc w:val="both"/>
        <w:rPr>
          <w:rFonts w:ascii="Times New Roman" w:hAnsi="Times New Roman" w:cs="Times New Roman"/>
          <w:sz w:val="24"/>
          <w:szCs w:val="24"/>
        </w:rPr>
      </w:pPr>
      <w:r>
        <w:rPr>
          <w:rFonts w:ascii="Times New Roman" w:hAnsi="Times New Roman" w:cs="Times New Roman"/>
          <w:sz w:val="24"/>
          <w:szCs w:val="24"/>
        </w:rPr>
        <w:t>I strongly recommend that future participants should bear the following in mind;</w:t>
      </w:r>
    </w:p>
    <w:p w14:paraId="1EB48A39">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student should be focused to avoid disputing the reputation of the institution in their place of industrial attachment and they should also bear in mind the objective of the scheme and show commitment, diligence and honesty.</w:t>
      </w:r>
    </w:p>
    <w:p w14:paraId="1EB48A3A">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student should obey and adhere strictly to all rules and regulations of the company; they should respect the industrial based supervisors as well as other staffs of the company because the moral standard of the student is also evaluated.</w:t>
      </w:r>
    </w:p>
    <w:p w14:paraId="1EB48A3B">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student should avoid change of placement without seeking permission from the institutional based supervisor, the employer and the industrial training fund.</w:t>
      </w:r>
    </w:p>
    <w:p w14:paraId="1EB48A3C">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student should handle the equipment if the firm with great care and they should take pride in protecting the interest of the company throughout the period of industrial attachment.</w:t>
      </w:r>
    </w:p>
    <w:p w14:paraId="1EB48A3D">
      <w:pPr>
        <w:jc w:val="both"/>
        <w:rPr>
          <w:rFonts w:ascii="Times New Roman" w:hAnsi="Times New Roman" w:cs="Times New Roman"/>
          <w:sz w:val="24"/>
          <w:szCs w:val="24"/>
        </w:rPr>
      </w:pPr>
      <w:r>
        <w:rPr>
          <w:rFonts w:ascii="Times New Roman" w:hAnsi="Times New Roman" w:cs="Times New Roman"/>
          <w:b/>
          <w:sz w:val="24"/>
          <w:szCs w:val="24"/>
        </w:rPr>
        <w:t>5.2.2</w:t>
      </w:r>
      <w:r>
        <w:rPr>
          <w:rFonts w:ascii="Times New Roman" w:hAnsi="Times New Roman" w:cs="Times New Roman"/>
          <w:b/>
          <w:sz w:val="24"/>
          <w:szCs w:val="24"/>
        </w:rPr>
        <w:tab/>
      </w:r>
      <w:r>
        <w:rPr>
          <w:rFonts w:ascii="Times New Roman" w:hAnsi="Times New Roman" w:cs="Times New Roman"/>
          <w:b/>
          <w:sz w:val="24"/>
          <w:szCs w:val="24"/>
        </w:rPr>
        <w:t>Advice for the SIWES managers</w:t>
      </w:r>
    </w:p>
    <w:p w14:paraId="1EB48A3E">
      <w:pPr>
        <w:numPr>
          <w:ilvl w:val="0"/>
          <w:numId w:val="12"/>
        </w:numPr>
        <w:jc w:val="both"/>
        <w:rPr>
          <w:rFonts w:ascii="Times New Roman" w:hAnsi="Times New Roman" w:cs="Times New Roman"/>
          <w:sz w:val="24"/>
          <w:szCs w:val="24"/>
        </w:rPr>
      </w:pPr>
      <w:r>
        <w:rPr>
          <w:rFonts w:ascii="Times New Roman" w:hAnsi="Times New Roman" w:cs="Times New Roman"/>
          <w:sz w:val="24"/>
          <w:szCs w:val="24"/>
        </w:rPr>
        <w:t>The SIWES managers should give attention to student welfare on industrial training and the students allowance should be increased as a result as high cost of living in our society.</w:t>
      </w:r>
    </w:p>
    <w:p w14:paraId="1EB48A3F">
      <w:pPr>
        <w:numPr>
          <w:ilvl w:val="0"/>
          <w:numId w:val="12"/>
        </w:numPr>
        <w:jc w:val="both"/>
        <w:rPr>
          <w:rFonts w:ascii="Times New Roman" w:hAnsi="Times New Roman" w:cs="Times New Roman"/>
          <w:sz w:val="24"/>
          <w:szCs w:val="24"/>
        </w:rPr>
      </w:pPr>
      <w:r>
        <w:rPr>
          <w:rFonts w:ascii="Times New Roman" w:hAnsi="Times New Roman" w:cs="Times New Roman"/>
          <w:sz w:val="24"/>
          <w:szCs w:val="24"/>
        </w:rPr>
        <w:t>Technologists from various departments or program should be involved in the drafting of time table for students on IT to ensure that students are always sent into areas where activities that will result in learning experience are taking place.</w:t>
      </w:r>
    </w:p>
    <w:p w14:paraId="1EB48A40">
      <w:pPr>
        <w:pStyle w:val="2"/>
        <w:numPr>
          <w:ilvl w:val="0"/>
          <w:numId w:val="0"/>
        </w:numPr>
        <w:jc w:val="both"/>
        <w:rPr>
          <w:rFonts w:ascii="Times New Roman" w:hAnsi="Times New Roman" w:eastAsia="Calibri" w:cs="Times New Roman"/>
          <w:sz w:val="24"/>
          <w:szCs w:val="24"/>
        </w:rPr>
      </w:pPr>
      <w:r>
        <w:rPr>
          <w:rFonts w:ascii="Times New Roman" w:hAnsi="Times New Roman" w:eastAsia="Wingdings" w:cs="Times New Roman"/>
          <w:sz w:val="24"/>
          <w:szCs w:val="24"/>
        </w:rPr>
        <w:t>5.3 CONCLUSION</w:t>
      </w:r>
    </w:p>
    <w:p w14:paraId="1EB48A41">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1EB48A42">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336D526F">
      <w:pPr>
        <w:rPr>
          <w:sz w:val="24"/>
          <w:szCs w:val="24"/>
        </w:rPr>
      </w:pPr>
    </w:p>
    <w:p w14:paraId="0D6557D3">
      <w:pPr>
        <w:rPr>
          <w:sz w:val="24"/>
          <w:szCs w:val="24"/>
        </w:rPr>
      </w:pPr>
    </w:p>
    <w:p w14:paraId="614BABEB">
      <w:pPr>
        <w:rPr>
          <w:sz w:val="24"/>
          <w:szCs w:val="24"/>
        </w:rPr>
      </w:pPr>
    </w:p>
    <w:p w14:paraId="12E51990">
      <w:pPr>
        <w:rPr>
          <w:sz w:val="24"/>
          <w:szCs w:val="24"/>
        </w:rPr>
      </w:pPr>
    </w:p>
    <w:p w14:paraId="66B05140">
      <w:pPr>
        <w:rPr>
          <w:sz w:val="24"/>
          <w:szCs w:val="24"/>
        </w:rPr>
      </w:pPr>
    </w:p>
    <w:p w14:paraId="05FB4C2E">
      <w:pPr>
        <w:rPr>
          <w:sz w:val="24"/>
          <w:szCs w:val="24"/>
        </w:rPr>
      </w:pPr>
    </w:p>
    <w:p w14:paraId="15642C33">
      <w:pPr>
        <w:rPr>
          <w:sz w:val="24"/>
          <w:szCs w:val="24"/>
        </w:rPr>
      </w:pPr>
    </w:p>
    <w:sectPr>
      <w:headerReference r:id="rId7" w:type="first"/>
      <w:headerReference r:id="rId5" w:type="default"/>
      <w:footerReference r:id="rId8" w:type="default"/>
      <w:headerReference r:id="rId6" w:type="even"/>
      <w:pgSz w:w="12240" w:h="15840"/>
      <w:pgMar w:top="1440" w:right="1440" w:bottom="1440" w:left="780" w:header="720" w:footer="720" w:gutter="0"/>
      <w:pgBorders w:display="firstPage" w:offsetFrom="page">
        <w:top w:val="flowersModern1" w:color="auto" w:sz="16" w:space="24"/>
        <w:left w:val="flowersModern1" w:color="auto" w:sz="16" w:space="24"/>
        <w:bottom w:val="flowersModern1" w:color="auto" w:sz="16" w:space="24"/>
        <w:right w:val="flowersModern1" w:color="auto" w:sz="16"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02786"/>
      <w:docPartObj>
        <w:docPartGallery w:val="autotext"/>
      </w:docPartObj>
    </w:sdtPr>
    <w:sdtContent>
      <w:p w14:paraId="209F6C4E">
        <w:pPr>
          <w:pStyle w:val="5"/>
          <w:jc w:val="center"/>
        </w:pPr>
        <w:r>
          <mc:AlternateContent>
            <mc:Choice Requires="wps">
              <w:drawing>
                <wp:inline distT="0" distB="0" distL="0" distR="0">
                  <wp:extent cx="5467350" cy="54610"/>
                  <wp:effectExtent l="38100" t="5080" r="38100" b="16510"/>
                  <wp:docPr id="1577946567" name="Flowchart: Decision 1"/>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 id="Flowchart: Decision 1" o:spid="_x0000_s1026" o:spt="110" type="#_x0000_t110" style="height:4.3pt;width:430.5pt;" fillcolor="#000000" filled="t" stroked="t" coordsize="21600,21600" o:gfxdata="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YmDodIAAAADAQAADwAAAAAAAAABACAAAAAiAAAAZHJzL2Rvd25yZXYueG1sUEsB&#10;AhQAFAAAAAgAh07iQAZ4xmY0AgAAkQQAAA4AAAAAAAAAAQAgAAAAIQEAAGRycy9lMm9Eb2MueG1s&#10;UEsFBgAAAAAGAAYAWQEAAMcFAAAAAA==&#10;">
                  <v:fill on="t" focussize="0,0"/>
                  <v:stroke color="#000000" miterlimit="8" joinstyle="miter"/>
                  <v:imagedata o:title=""/>
                  <o:lock v:ext="edit" aspectratio="f"/>
                  <w10:wrap type="none"/>
                  <w10:anchorlock/>
                </v:shape>
              </w:pict>
            </mc:Fallback>
          </mc:AlternateContent>
        </w:r>
      </w:p>
      <w:p w14:paraId="1F0AB65E">
        <w:pPr>
          <w:pStyle w:val="5"/>
          <w:jc w:val="center"/>
        </w:pPr>
        <w:r>
          <w:fldChar w:fldCharType="begin"/>
        </w:r>
        <w:r>
          <w:instrText xml:space="preserve"> PAGE    \* MERGEFORMAT </w:instrText>
        </w:r>
        <w:r>
          <w:fldChar w:fldCharType="separate"/>
        </w:r>
        <w:r>
          <w:t>2</w:t>
        </w:r>
        <w:r>
          <w:fldChar w:fldCharType="end"/>
        </w:r>
      </w:p>
    </w:sdtContent>
  </w:sdt>
  <w:p w14:paraId="1EB48A4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8A4C">
    <w:pPr>
      <w:pStyle w:val="6"/>
    </w:pPr>
    <w:r>
      <w:rPr>
        <w14:ligatures w14:val="standardContextual"/>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8A4B">
    <w:pPr>
      <w:pStyle w:val="6"/>
    </w:pPr>
    <w:r>
      <w:rPr>
        <w14:ligatures w14:val="standardContextual"/>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8A4F">
    <w:pPr>
      <w:pStyle w:val="6"/>
    </w:pPr>
    <w:r>
      <w:rPr>
        <w14:ligatures w14:val="standardContextual"/>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C5AF7"/>
    <w:multiLevelType w:val="multilevel"/>
    <w:tmpl w:val="010C5A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C58CF4"/>
    <w:multiLevelType w:val="singleLevel"/>
    <w:tmpl w:val="07C58CF4"/>
    <w:lvl w:ilvl="0" w:tentative="0">
      <w:start w:val="7"/>
      <w:numFmt w:val="decimal"/>
      <w:suff w:val="space"/>
      <w:lvlText w:val="%1."/>
      <w:lvlJc w:val="left"/>
    </w:lvl>
  </w:abstractNum>
  <w:abstractNum w:abstractNumId="2">
    <w:nsid w:val="105A7E4A"/>
    <w:multiLevelType w:val="multilevel"/>
    <w:tmpl w:val="105A7E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53E2F6F"/>
    <w:multiLevelType w:val="multilevel"/>
    <w:tmpl w:val="153E2F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04A710A"/>
    <w:multiLevelType w:val="multilevel"/>
    <w:tmpl w:val="204A710A"/>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B4B05A9"/>
    <w:multiLevelType w:val="multilevel"/>
    <w:tmpl w:val="2B4B05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4AE459B"/>
    <w:multiLevelType w:val="multilevel"/>
    <w:tmpl w:val="34AE45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7AEF771"/>
    <w:multiLevelType w:val="singleLevel"/>
    <w:tmpl w:val="37AEF771"/>
    <w:lvl w:ilvl="0" w:tentative="0">
      <w:start w:val="1"/>
      <w:numFmt w:val="bullet"/>
      <w:lvlText w:val=""/>
      <w:lvlJc w:val="left"/>
      <w:pPr>
        <w:tabs>
          <w:tab w:val="left" w:pos="420"/>
        </w:tabs>
        <w:ind w:left="420" w:hanging="420"/>
      </w:pPr>
      <w:rPr>
        <w:rFonts w:hint="default" w:ascii="Wingdings" w:hAnsi="Wingdings"/>
      </w:rPr>
    </w:lvl>
  </w:abstractNum>
  <w:abstractNum w:abstractNumId="8">
    <w:nsid w:val="53220F94"/>
    <w:multiLevelType w:val="multilevel"/>
    <w:tmpl w:val="53220F94"/>
    <w:lvl w:ilvl="0" w:tentative="0">
      <w:start w:val="1"/>
      <w:numFmt w:val="decimal"/>
      <w:lvlText w:val="%1."/>
      <w:lvlJc w:val="left"/>
      <w:pPr>
        <w:ind w:left="1080" w:hanging="360"/>
      </w:pPr>
    </w:lvl>
    <w:lvl w:ilvl="1" w:tentative="0">
      <w:start w:val="2"/>
      <w:numFmt w:val="decimal"/>
      <w:pStyle w:val="2"/>
      <w:isLgl/>
      <w:lvlText w:val="%1.%2"/>
      <w:lvlJc w:val="left"/>
      <w:pPr>
        <w:ind w:left="1444" w:hanging="720"/>
      </w:pPr>
    </w:lvl>
    <w:lvl w:ilvl="2" w:tentative="0">
      <w:start w:val="1"/>
      <w:numFmt w:val="decimal"/>
      <w:isLgl/>
      <w:lvlText w:val="%1.%2.%3"/>
      <w:lvlJc w:val="left"/>
      <w:pPr>
        <w:ind w:left="1448" w:hanging="720"/>
      </w:pPr>
    </w:lvl>
    <w:lvl w:ilvl="3" w:tentative="0">
      <w:start w:val="1"/>
      <w:numFmt w:val="decimal"/>
      <w:isLgl/>
      <w:lvlText w:val="%1.%2.%3.%4"/>
      <w:lvlJc w:val="left"/>
      <w:pPr>
        <w:ind w:left="1452" w:hanging="720"/>
      </w:pPr>
    </w:lvl>
    <w:lvl w:ilvl="4" w:tentative="0">
      <w:start w:val="1"/>
      <w:numFmt w:val="decimal"/>
      <w:isLgl/>
      <w:lvlText w:val="%1.%2.%3.%4.%5"/>
      <w:lvlJc w:val="left"/>
      <w:pPr>
        <w:ind w:left="1816" w:hanging="1080"/>
      </w:pPr>
    </w:lvl>
    <w:lvl w:ilvl="5" w:tentative="0">
      <w:start w:val="1"/>
      <w:numFmt w:val="decimal"/>
      <w:isLgl/>
      <w:lvlText w:val="%1.%2.%3.%4.%5.%6"/>
      <w:lvlJc w:val="left"/>
      <w:pPr>
        <w:ind w:left="1820" w:hanging="1080"/>
      </w:pPr>
    </w:lvl>
    <w:lvl w:ilvl="6" w:tentative="0">
      <w:start w:val="1"/>
      <w:numFmt w:val="decimal"/>
      <w:isLgl/>
      <w:lvlText w:val="%1.%2.%3.%4.%5.%6.%7"/>
      <w:lvlJc w:val="left"/>
      <w:pPr>
        <w:ind w:left="2184" w:hanging="1440"/>
      </w:pPr>
    </w:lvl>
    <w:lvl w:ilvl="7" w:tentative="0">
      <w:start w:val="1"/>
      <w:numFmt w:val="decimal"/>
      <w:isLgl/>
      <w:lvlText w:val="%1.%2.%3.%4.%5.%6.%7.%8"/>
      <w:lvlJc w:val="left"/>
      <w:pPr>
        <w:ind w:left="2188" w:hanging="1440"/>
      </w:pPr>
    </w:lvl>
    <w:lvl w:ilvl="8" w:tentative="0">
      <w:start w:val="1"/>
      <w:numFmt w:val="decimal"/>
      <w:isLgl/>
      <w:lvlText w:val="%1.%2.%3.%4.%5.%6.%7.%8.%9"/>
      <w:lvlJc w:val="left"/>
      <w:pPr>
        <w:ind w:left="2552" w:hanging="1800"/>
      </w:pPr>
    </w:lvl>
  </w:abstractNum>
  <w:abstractNum w:abstractNumId="9">
    <w:nsid w:val="56FB2C8F"/>
    <w:multiLevelType w:val="multilevel"/>
    <w:tmpl w:val="56FB2C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2146044"/>
    <w:multiLevelType w:val="multilevel"/>
    <w:tmpl w:val="62146044"/>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CE47C7F"/>
    <w:multiLevelType w:val="multilevel"/>
    <w:tmpl w:val="7CE47C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7"/>
  </w:num>
  <w:num w:numId="5">
    <w:abstractNumId w:val="11"/>
  </w:num>
  <w:num w:numId="6">
    <w:abstractNumId w:val="3"/>
  </w:num>
  <w:num w:numId="7">
    <w:abstractNumId w:val="0"/>
  </w:num>
  <w:num w:numId="8">
    <w:abstractNumId w:val="9"/>
  </w:num>
  <w:num w:numId="9">
    <w:abstractNumId w:val="6"/>
  </w:num>
  <w:num w:numId="10">
    <w:abstractNumId w:val="2"/>
  </w:num>
  <w:num w:numId="11">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D051C"/>
    <w:rsid w:val="45701D2D"/>
    <w:rsid w:val="498D0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paragraph" w:styleId="2">
    <w:name w:val="heading 2"/>
    <w:basedOn w:val="1"/>
    <w:next w:val="1"/>
    <w:unhideWhenUsed/>
    <w:qFormat/>
    <w:uiPriority w:val="9"/>
    <w:pPr>
      <w:keepNext/>
      <w:keepLines/>
      <w:numPr>
        <w:ilvl w:val="1"/>
        <w:numId w:val="1"/>
      </w:numPr>
      <w:spacing w:before="200" w:after="240" w:line="360" w:lineRule="auto"/>
      <w:ind w:left="0" w:firstLine="0"/>
      <w:outlineLvl w:val="1"/>
    </w:pPr>
    <w:rPr>
      <w:rFonts w:asciiTheme="minorHAnsi" w:hAnsiTheme="minorHAnsi" w:eastAsiaTheme="majorEastAsia" w:cstheme="minorHAnsi"/>
      <w:b/>
      <w:bCs/>
      <w:color w:val="000000" w:themeColor="text1"/>
      <w:sz w:val="24"/>
      <w:szCs w:val="24"/>
      <w:lang w:val="en-GB"/>
      <w14:textFill>
        <w14:solidFill>
          <w14:schemeClr w14:val="tx1"/>
        </w14:solidFill>
      </w14:textFill>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style>
  <w:style w:type="paragraph" w:styleId="6">
    <w:name w:val="header"/>
    <w:basedOn w:val="1"/>
    <w:unhideWhenUsed/>
    <w:qFormat/>
    <w:uiPriority w:val="99"/>
    <w:pPr>
      <w:tabs>
        <w:tab w:val="center" w:pos="4680"/>
        <w:tab w:val="right" w:pos="9360"/>
      </w:tabs>
      <w:spacing w:after="0" w:line="240" w:lineRule="auto"/>
    </w:pPr>
  </w:style>
  <w:style w:type="character" w:customStyle="1" w:styleId="7">
    <w:name w:val="a1"/>
    <w:qFormat/>
    <w:uiPriority w:val="0"/>
    <w:rPr>
      <w:rFonts w:hint="default" w:ascii="Times New Roman" w:hAnsi="Times New Roman" w:cs="Times New Roman"/>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73</TotalTime>
  <ScaleCrop>false</ScaleCrop>
  <LinksUpToDate>false</LinksUpToDate>
  <CharactersWithSpaces>0</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2024-11-30T11:01:00Z</dcterms:created>
  <dc:creator>AKOLADE FARUQ AWEDA</dc:creator>
  <cp:lastModifiedBy>AKOLADE FARUQ AWEDA</cp:lastModifiedBy>
  <cp:lastPrinted>2024-11-30T14:34:33Z</cp:lastPrinted>
  <dcterms:modified xsi:type="dcterms:W3CDTF">2024-12-01T06:20:16Z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78374A179DD54F6A8AD14EE9E7B1BAAC_11</vt:lpwstr>
  </property>
</Properties>
</file>