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Abdulganiyu Ismail</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ND/23/MAC/PT/1240</w:t>
      </w: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 </w:t>
      </w:r>
      <w:r>
        <w:rPr>
          <w:rFonts w:cs="Times New Roman" w:asciiTheme="majorHAnsi" w:hAnsiTheme="majorHAnsi"/>
          <w:sz w:val="26"/>
          <w:szCs w:val="26"/>
        </w:rPr>
        <w:t>Abdulganiyu</w:t>
      </w:r>
      <w:r>
        <w:rPr>
          <w:rFonts w:cs="Times New Roman" w:asciiTheme="majorHAnsi" w:hAnsiTheme="majorHAnsi"/>
          <w:sz w:val="26"/>
          <w:szCs w:val="26"/>
        </w:rPr>
        <w:t xml:space="preserve">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imes New Roman" w:asciiTheme="majorHAnsi" w:hAnsiTheme="majorHAnsi"/>
          <w:sz w:val="26"/>
          <w:szCs w:val="26"/>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Radio Kwara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rFonts w:cs="Times New Roman" w:asciiTheme="majorHAnsi" w:hAnsiTheme="majorHAnsi"/>
          <w:sz w:val="26"/>
          <w:szCs w:val="26"/>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 xml:space="preserve">Radio Kwara </w:t>
      </w:r>
      <w:r>
        <w:rPr>
          <w:rFonts w:cs="Times New Roman" w:asciiTheme="majorHAnsi" w:hAnsiTheme="majorHAnsi"/>
          <w:sz w:val="26"/>
          <w:szCs w:val="26"/>
          <w:shd w:val="clear" w:color="auto" w:fill="ffffff"/>
        </w:rPr>
        <w:t>Ilorin</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 xml:space="preserve">Radio Kwara Gra Ilorin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Arial" w:eastAsia="Calibri" w:hAnsi="Calibri"/>
      <w:sz w:val="21"/>
    </w:rPr>
  </w:style>
  <w:style w:type="paragraph" w:styleId="style1">
    <w:name w:val="heading 1"/>
    <w:basedOn w:val="style4105"/>
    <w:next w:val="style1"/>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2"/>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104"/>
    <w:qFormat/>
    <w:pPr>
      <w:spacing w:before="0" w:after="160" w:lineRule="auto" w:line="259"/>
      <w:ind w:left="0" w:right="0"/>
    </w:pPr>
    <w:rPr>
      <w:rFonts w:ascii="Calibri" w:cs="Arial" w:eastAsia="Calibri" w:hAnsi="Calibri"/>
      <w:sz w:val="21"/>
    </w:rPr>
  </w:style>
  <w:style w:type="paragraph" w:customStyle="1" w:styleId="style4105">
    <w:name w:val="&quot;Title&quot;"/>
    <w:next w:val="style4105"/>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6">
    <w:name w:val="&quot;Subtitle&quot;"/>
    <w:next w:val="style4106"/>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7">
    <w:name w:val="&quot;footer&quot;"/>
    <w:next w:val="style4107"/>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8">
    <w:name w:val="&quot;Balloon Text&quot;"/>
    <w:next w:val="style4108"/>
    <w:pPr>
      <w:spacing w:before="0" w:after="0" w:lineRule="auto" w:line="240"/>
      <w:ind w:left="0" w:right="0"/>
    </w:pPr>
    <w:rPr>
      <w:rFonts w:ascii="Tahoma" w:cs="Tahoma" w:eastAsia="Calibri" w:hAnsi="Tahoma"/>
      <w:sz w:val="16"/>
      <w:szCs w:val="16"/>
    </w:rPr>
  </w:style>
  <w:style w:type="paragraph" w:customStyle="1" w:styleId="style4109">
    <w:name w:val="&quot;Normal (Web)&quot;"/>
    <w:next w:val="style4109"/>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5227</Words>
  <Characters>27703</Characters>
  <Application>WPS Office</Application>
  <DocSecurity>0</DocSecurity>
  <Paragraphs>307</Paragraphs>
  <ScaleCrop>false</ScaleCrop>
  <LinksUpToDate>false</LinksUpToDate>
  <CharactersWithSpaces>33007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2025-03-21T16:15:19Z</dcterms:created>
  <dc:creator>PLATINUM</dc:creator>
  <lastModifiedBy>TECNO KL4</lastModifiedBy>
  <dcterms:modified xsi:type="dcterms:W3CDTF">2025-03-21T16:15:19Z</dcterms:modified>
  <revision>2</revision>
</coreProperties>
</file>