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FB1728" w:rsidRPr="00AB0A6B" w:rsidRDefault="00FB1728" w:rsidP="00FB1728">
      <w:pPr>
        <w:jc w:val="center"/>
        <w:rPr>
          <w:rFonts w:ascii="Times New Roman" w:hAnsi="Times New Roman" w:cs="Times New Roman"/>
          <w:b/>
          <w:sz w:val="28"/>
          <w:szCs w:val="28"/>
        </w:rPr>
      </w:pPr>
      <w:r>
        <w:rPr>
          <w:rFonts w:ascii="Times New Roman" w:hAnsi="Times New Roman" w:cs="Times New Roman"/>
          <w:b/>
          <w:sz w:val="28"/>
          <w:szCs w:val="28"/>
        </w:rPr>
        <w:t>ISMAIL MUIZ</w:t>
      </w:r>
    </w:p>
    <w:p w:rsidR="00FB1728" w:rsidRPr="00AB0A6B" w:rsidRDefault="00FB1728" w:rsidP="00FB1728">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0197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bookmarkStart w:id="0" w:name="_GoBack"/>
      <w:bookmarkEnd w:id="0"/>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C03" w:rsidRDefault="003F3C03">
      <w:pPr>
        <w:spacing w:after="0" w:line="240" w:lineRule="auto"/>
      </w:pPr>
      <w:r>
        <w:separator/>
      </w:r>
    </w:p>
  </w:endnote>
  <w:endnote w:type="continuationSeparator" w:id="0">
    <w:p w:rsidR="003F3C03" w:rsidRDefault="003F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FB1728">
          <w:rPr>
            <w:noProof/>
          </w:rPr>
          <w:t>20</w:t>
        </w:r>
        <w:r>
          <w:rPr>
            <w:noProof/>
          </w:rPr>
          <w:fldChar w:fldCharType="end"/>
        </w:r>
      </w:p>
    </w:sdtContent>
  </w:sdt>
  <w:p w:rsidR="00890402" w:rsidRDefault="003F3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C03" w:rsidRDefault="003F3C03">
      <w:pPr>
        <w:spacing w:after="0" w:line="240" w:lineRule="auto"/>
      </w:pPr>
      <w:r>
        <w:separator/>
      </w:r>
    </w:p>
  </w:footnote>
  <w:footnote w:type="continuationSeparator" w:id="0">
    <w:p w:rsidR="003F3C03" w:rsidRDefault="003F3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FB1728">
      <w:t>ND/23/COM/PT/0197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F3C0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3F3C0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F16057"/>
    <w:rsid w:val="00FB15D2"/>
    <w:rsid w:val="00FB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2025-01-13T20:04:00Z</dcterms:modified>
</cp:coreProperties>
</file>