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833E7B" w:rsidRPr="00AB0A6B" w:rsidRDefault="00F8572E" w:rsidP="00833E7B">
      <w:pPr>
        <w:jc w:val="center"/>
        <w:rPr>
          <w:rFonts w:ascii="Times New Roman" w:hAnsi="Times New Roman" w:cs="Times New Roman"/>
          <w:b/>
          <w:sz w:val="28"/>
          <w:szCs w:val="28"/>
        </w:rPr>
      </w:pPr>
      <w:r>
        <w:rPr>
          <w:rFonts w:ascii="Times New Roman" w:hAnsi="Times New Roman" w:cs="Times New Roman"/>
          <w:b/>
          <w:sz w:val="28"/>
          <w:szCs w:val="28"/>
        </w:rPr>
        <w:t>TOLUWANI ISAAC ODEGBARO</w:t>
      </w:r>
      <w:bookmarkStart w:id="0" w:name="_GoBack"/>
      <w:bookmarkEnd w:id="0"/>
    </w:p>
    <w:p w:rsidR="00833E7B" w:rsidRPr="00AB0A6B" w:rsidRDefault="00F8572E" w:rsidP="00833E7B">
      <w:pPr>
        <w:jc w:val="center"/>
        <w:rPr>
          <w:rFonts w:ascii="Times New Roman" w:hAnsi="Times New Roman" w:cs="Times New Roman"/>
          <w:b/>
          <w:sz w:val="28"/>
          <w:szCs w:val="28"/>
        </w:rPr>
      </w:pPr>
      <w:r>
        <w:rPr>
          <w:rFonts w:ascii="Times New Roman" w:hAnsi="Times New Roman" w:cs="Times New Roman"/>
          <w:b/>
          <w:sz w:val="28"/>
          <w:szCs w:val="28"/>
        </w:rPr>
        <w:t>ND/23/COM/FT/0087</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6A6" w:rsidRDefault="002236A6">
      <w:pPr>
        <w:spacing w:after="0" w:line="240" w:lineRule="auto"/>
      </w:pPr>
      <w:r>
        <w:separator/>
      </w:r>
    </w:p>
  </w:endnote>
  <w:endnote w:type="continuationSeparator" w:id="0">
    <w:p w:rsidR="002236A6" w:rsidRDefault="00223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F8572E">
          <w:rPr>
            <w:noProof/>
          </w:rPr>
          <w:t>20</w:t>
        </w:r>
        <w:r>
          <w:rPr>
            <w:noProof/>
          </w:rPr>
          <w:fldChar w:fldCharType="end"/>
        </w:r>
      </w:p>
    </w:sdtContent>
  </w:sdt>
  <w:p w:rsidR="00890402" w:rsidRDefault="002236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6A6" w:rsidRDefault="002236A6">
      <w:pPr>
        <w:spacing w:after="0" w:line="240" w:lineRule="auto"/>
      </w:pPr>
      <w:r>
        <w:separator/>
      </w:r>
    </w:p>
  </w:footnote>
  <w:footnote w:type="continuationSeparator" w:id="0">
    <w:p w:rsidR="002236A6" w:rsidRDefault="002236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F8572E">
      <w:t>ND/23/COM/FT/0087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2236A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236A6"/>
    <w:rsid w:val="00265650"/>
    <w:rsid w:val="002C4D2E"/>
    <w:rsid w:val="002F74B3"/>
    <w:rsid w:val="00520AE8"/>
    <w:rsid w:val="005476FE"/>
    <w:rsid w:val="007C1282"/>
    <w:rsid w:val="007E5C32"/>
    <w:rsid w:val="00801907"/>
    <w:rsid w:val="00833E7B"/>
    <w:rsid w:val="008E6A28"/>
    <w:rsid w:val="00912799"/>
    <w:rsid w:val="009C74F6"/>
    <w:rsid w:val="00A235CF"/>
    <w:rsid w:val="00B47F96"/>
    <w:rsid w:val="00BA5393"/>
    <w:rsid w:val="00BC257A"/>
    <w:rsid w:val="00E37874"/>
    <w:rsid w:val="00F16057"/>
    <w:rsid w:val="00F8572E"/>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20</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2025-03-12T20:41:00Z</dcterms:modified>
</cp:coreProperties>
</file>