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bookmarkStart w:id="0" w:name="_GoBack"/>
      <w:bookmarkEnd w:id="0"/>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Pr="00CE5D7B" w:rsidRDefault="00CE5D7B" w:rsidP="006577A7">
      <w:pPr>
        <w:spacing w:line="240" w:lineRule="auto"/>
        <w:jc w:val="center"/>
        <w:rPr>
          <w:rFonts w:ascii="Times New Roman" w:hAnsi="Times New Roman"/>
          <w:b/>
          <w:sz w:val="32"/>
          <w:szCs w:val="28"/>
        </w:rPr>
      </w:pPr>
      <w:r w:rsidRPr="00CE5D7B">
        <w:rPr>
          <w:rFonts w:ascii="Times New Roman" w:hAnsi="Times New Roman"/>
          <w:b/>
          <w:sz w:val="32"/>
          <w:szCs w:val="28"/>
        </w:rPr>
        <w:t>ND/23/STA/PT/0009</w:t>
      </w:r>
    </w:p>
    <w:p w:rsidR="006577A7" w:rsidRPr="00CE5D7B" w:rsidRDefault="00CE5D7B" w:rsidP="006577A7">
      <w:pPr>
        <w:spacing w:line="240" w:lineRule="auto"/>
        <w:jc w:val="center"/>
        <w:rPr>
          <w:rFonts w:ascii="Times New Roman" w:hAnsi="Times New Roman"/>
          <w:b/>
          <w:sz w:val="32"/>
          <w:szCs w:val="28"/>
        </w:rPr>
      </w:pPr>
      <w:r w:rsidRPr="00CE5D7B">
        <w:rPr>
          <w:rFonts w:ascii="Times New Roman" w:hAnsi="Times New Roman"/>
          <w:b/>
          <w:sz w:val="32"/>
          <w:szCs w:val="28"/>
        </w:rPr>
        <w:t>KOLAWOLE BUKOLA MARY</w:t>
      </w:r>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4E" w:rsidRDefault="009B414E" w:rsidP="00991999">
      <w:pPr>
        <w:spacing w:after="0" w:line="240" w:lineRule="auto"/>
      </w:pPr>
      <w:r>
        <w:separator/>
      </w:r>
    </w:p>
  </w:endnote>
  <w:endnote w:type="continuationSeparator" w:id="0">
    <w:p w:rsidR="009B414E" w:rsidRDefault="009B414E"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CE5D7B">
          <w:rPr>
            <w:noProof/>
          </w:rPr>
          <w:t>2</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4E" w:rsidRDefault="009B414E" w:rsidP="00991999">
      <w:pPr>
        <w:spacing w:after="0" w:line="240" w:lineRule="auto"/>
      </w:pPr>
      <w:r>
        <w:separator/>
      </w:r>
    </w:p>
  </w:footnote>
  <w:footnote w:type="continuationSeparator" w:id="0">
    <w:p w:rsidR="009B414E" w:rsidRDefault="009B414E"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9B41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9B41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9B41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9B414E"/>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E5D7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80829200"/>
        <c:axId val="380825672"/>
      </c:barChart>
      <c:catAx>
        <c:axId val="38082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0825672"/>
        <c:crosses val="autoZero"/>
        <c:auto val="1"/>
        <c:lblAlgn val="ctr"/>
        <c:lblOffset val="100"/>
        <c:noMultiLvlLbl val="0"/>
      </c:catAx>
      <c:valAx>
        <c:axId val="380825672"/>
        <c:scaling>
          <c:orientation val="minMax"/>
        </c:scaling>
        <c:delete val="1"/>
        <c:axPos val="l"/>
        <c:numFmt formatCode="General" sourceLinked="1"/>
        <c:majorTickMark val="none"/>
        <c:minorTickMark val="none"/>
        <c:tickLblPos val="nextTo"/>
        <c:crossAx val="380829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2025-03-06T11:56:00Z</dcterms:modified>
</cp:coreProperties>
</file>