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4356EB" w:rsidP="00990991">
      <w:pPr>
        <w:spacing w:after="0"/>
        <w:jc w:val="center"/>
        <w:rPr>
          <w:rFonts w:ascii="Elephant" w:hAnsi="Elephant"/>
          <w:b/>
          <w:noProof/>
          <w:sz w:val="36"/>
          <w:szCs w:val="24"/>
        </w:rPr>
      </w:pPr>
      <w:r>
        <w:rPr>
          <w:rFonts w:ascii="Elephant" w:hAnsi="Elephant"/>
          <w:b/>
          <w:noProof/>
          <w:sz w:val="36"/>
          <w:szCs w:val="24"/>
        </w:rPr>
        <w:t>LAWAL ALAMEEN AYOMIDE</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4356EB">
        <w:rPr>
          <w:rFonts w:ascii="Book Antiqua" w:hAnsi="Book Antiqua"/>
          <w:b/>
          <w:noProof/>
          <w:sz w:val="28"/>
          <w:szCs w:val="24"/>
        </w:rPr>
        <w:t>125</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DA47F7">
        <w:rPr>
          <w:rFonts w:ascii="Times New Roman" w:hAnsi="Times New Roman"/>
          <w:noProof/>
          <w:sz w:val="24"/>
          <w:szCs w:val="24"/>
        </w:rPr>
        <w:t>Allah</w:t>
      </w:r>
      <w:r w:rsidRPr="00DE6EE3">
        <w:rPr>
          <w:rFonts w:ascii="Times New Roman" w:hAnsi="Times New Roman"/>
          <w:noProof/>
          <w:sz w:val="24"/>
          <w:szCs w:val="24"/>
        </w:rPr>
        <w:t xml:space="preserve"> 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1F3E95">
        <w:rPr>
          <w:rFonts w:ascii="Times New Roman" w:hAnsi="Times New Roman"/>
          <w:noProof/>
          <w:sz w:val="24"/>
          <w:szCs w:val="24"/>
        </w:rPr>
        <w:t>Allah</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DA47F7">
          <w:footerReference w:type="even" r:id="rId8"/>
          <w:footerReference w:type="default" r:id="rId9"/>
          <w:pgSz w:w="12240" w:h="15840"/>
          <w:pgMar w:top="1440" w:right="1440" w:bottom="1440" w:left="1440" w:header="720" w:footer="720" w:gutter="0"/>
          <w:pgBorders w:display="firstPage">
            <w:top w:val="balloonsHotAir" w:sz="31" w:space="1" w:color="auto"/>
            <w:left w:val="balloonsHotAir" w:sz="31" w:space="4" w:color="auto"/>
            <w:bottom w:val="balloonsHotAir" w:sz="31" w:space="1" w:color="auto"/>
            <w:right w:val="balloonsHotAir"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A55629"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A55629"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A55629"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A55629"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A55629"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A55629"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A55629"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A55629"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812" w:rsidRDefault="00FC2812" w:rsidP="00860EEF">
      <w:pPr>
        <w:spacing w:after="0" w:line="240" w:lineRule="auto"/>
      </w:pPr>
      <w:r>
        <w:separator/>
      </w:r>
    </w:p>
  </w:endnote>
  <w:endnote w:type="continuationSeparator" w:id="1">
    <w:p w:rsidR="00FC2812" w:rsidRDefault="00FC2812"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A55629"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A55629"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DA47F7">
      <w:rPr>
        <w:rStyle w:val="PageNumber"/>
        <w:noProof/>
      </w:rPr>
      <w:t>iii</w:t>
    </w:r>
    <w:r>
      <w:rPr>
        <w:rStyle w:val="PageNumber"/>
      </w:rPr>
      <w:fldChar w:fldCharType="end"/>
    </w:r>
  </w:p>
  <w:p w:rsidR="00252F11" w:rsidRDefault="00FC2812">
    <w:pPr>
      <w:pStyle w:val="Footer"/>
      <w:jc w:val="center"/>
    </w:pPr>
  </w:p>
  <w:p w:rsidR="00F04BC3" w:rsidRDefault="00FC2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812" w:rsidRDefault="00FC2812" w:rsidP="00860EEF">
      <w:pPr>
        <w:spacing w:after="0" w:line="240" w:lineRule="auto"/>
      </w:pPr>
      <w:r>
        <w:separator/>
      </w:r>
    </w:p>
  </w:footnote>
  <w:footnote w:type="continuationSeparator" w:id="1">
    <w:p w:rsidR="00FC2812" w:rsidRDefault="00FC2812"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547A8"/>
    <w:rsid w:val="00161974"/>
    <w:rsid w:val="0019340B"/>
    <w:rsid w:val="001A3001"/>
    <w:rsid w:val="001B66D5"/>
    <w:rsid w:val="001D002E"/>
    <w:rsid w:val="001E3EE2"/>
    <w:rsid w:val="001F3E95"/>
    <w:rsid w:val="00256827"/>
    <w:rsid w:val="002B0469"/>
    <w:rsid w:val="002B12EF"/>
    <w:rsid w:val="002C5CC2"/>
    <w:rsid w:val="002D1A9A"/>
    <w:rsid w:val="0032302A"/>
    <w:rsid w:val="003631E0"/>
    <w:rsid w:val="003662DF"/>
    <w:rsid w:val="00387470"/>
    <w:rsid w:val="00396402"/>
    <w:rsid w:val="003E23D7"/>
    <w:rsid w:val="004135FF"/>
    <w:rsid w:val="004356EB"/>
    <w:rsid w:val="004725D9"/>
    <w:rsid w:val="004747CD"/>
    <w:rsid w:val="00475642"/>
    <w:rsid w:val="00477161"/>
    <w:rsid w:val="00486D2A"/>
    <w:rsid w:val="0048739E"/>
    <w:rsid w:val="00493B33"/>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5C7C"/>
    <w:rsid w:val="006C7CF3"/>
    <w:rsid w:val="006D0B0C"/>
    <w:rsid w:val="00706AF8"/>
    <w:rsid w:val="00716C2C"/>
    <w:rsid w:val="007170CD"/>
    <w:rsid w:val="007D1A0F"/>
    <w:rsid w:val="007D349D"/>
    <w:rsid w:val="007E56AB"/>
    <w:rsid w:val="008224A3"/>
    <w:rsid w:val="00860EEF"/>
    <w:rsid w:val="00863759"/>
    <w:rsid w:val="008E5513"/>
    <w:rsid w:val="00967226"/>
    <w:rsid w:val="009844B6"/>
    <w:rsid w:val="00990991"/>
    <w:rsid w:val="009B1C8F"/>
    <w:rsid w:val="009D5F8B"/>
    <w:rsid w:val="009D73D1"/>
    <w:rsid w:val="009F71BE"/>
    <w:rsid w:val="00A12B65"/>
    <w:rsid w:val="00A22F8A"/>
    <w:rsid w:val="00A2737A"/>
    <w:rsid w:val="00A305D7"/>
    <w:rsid w:val="00A55629"/>
    <w:rsid w:val="00AB0ED4"/>
    <w:rsid w:val="00AB4C0B"/>
    <w:rsid w:val="00AE643B"/>
    <w:rsid w:val="00AF2A9E"/>
    <w:rsid w:val="00B32B34"/>
    <w:rsid w:val="00B36682"/>
    <w:rsid w:val="00B54B6C"/>
    <w:rsid w:val="00B56BF4"/>
    <w:rsid w:val="00C13E0F"/>
    <w:rsid w:val="00C16CA6"/>
    <w:rsid w:val="00C25AE3"/>
    <w:rsid w:val="00C260DC"/>
    <w:rsid w:val="00C36D67"/>
    <w:rsid w:val="00C55C0E"/>
    <w:rsid w:val="00C56647"/>
    <w:rsid w:val="00C96733"/>
    <w:rsid w:val="00CF3D99"/>
    <w:rsid w:val="00D11F13"/>
    <w:rsid w:val="00D30959"/>
    <w:rsid w:val="00D31CAC"/>
    <w:rsid w:val="00D52249"/>
    <w:rsid w:val="00DA47F7"/>
    <w:rsid w:val="00DE6EE3"/>
    <w:rsid w:val="00E1598D"/>
    <w:rsid w:val="00E25DC6"/>
    <w:rsid w:val="00E34629"/>
    <w:rsid w:val="00E4159F"/>
    <w:rsid w:val="00E501B6"/>
    <w:rsid w:val="00E65656"/>
    <w:rsid w:val="00EC7262"/>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2019-06-24T13:05:00Z</cp:lastPrinted>
  <dcterms:created xsi:type="dcterms:W3CDTF">2025-03-03T08:23:00Z</dcterms:created>
  <dcterms:modified xsi:type="dcterms:W3CDTF">2025-03-03T08:27:00Z</dcterms:modified>
</cp:coreProperties>
</file>