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98" w:rsidRDefault="00742BBB" w:rsidP="00057D98">
      <w:pPr>
        <w:pStyle w:val="Heading1"/>
        <w:spacing w:line="480" w:lineRule="auto"/>
        <w:jc w:val="both"/>
      </w:pPr>
      <w:bookmarkStart w:id="0" w:name="_Toc183546514"/>
      <w:r w:rsidRPr="004811D0">
        <w:t>2.</w:t>
      </w:r>
      <w:r w:rsidRPr="004811D0">
        <w:tab/>
        <w:t>LITERATURE REVIEW</w:t>
      </w:r>
      <w:bookmarkStart w:id="1" w:name="_Toc183546515"/>
      <w:bookmarkEnd w:id="0"/>
    </w:p>
    <w:p w:rsidR="00742BBB" w:rsidRPr="00057D98" w:rsidRDefault="00742BBB" w:rsidP="00572608">
      <w:pPr>
        <w:rPr>
          <w:rStyle w:val="Heading2Char"/>
          <w:i w:val="0"/>
          <w:sz w:val="28"/>
          <w:szCs w:val="28"/>
        </w:rPr>
      </w:pPr>
      <w:r w:rsidRPr="002A3003">
        <w:rPr>
          <w:rStyle w:val="Heading2Char"/>
        </w:rPr>
        <w:tab/>
      </w:r>
      <w:r w:rsidRPr="00057D98">
        <w:rPr>
          <w:rStyle w:val="Heading2Char"/>
          <w:i w:val="0"/>
          <w:sz w:val="28"/>
          <w:szCs w:val="28"/>
        </w:rPr>
        <w:t>Preamble</w:t>
      </w:r>
      <w:bookmarkEnd w:id="1"/>
    </w:p>
    <w:p w:rsidR="00187005" w:rsidRPr="00187005" w:rsidRDefault="00BA6ABD" w:rsidP="004F00EC">
      <w:pPr>
        <w:spacing w:line="480" w:lineRule="auto"/>
        <w:ind w:firstLine="720"/>
        <w:jc w:val="both"/>
      </w:pPr>
      <w:r>
        <w:t>Hybrid foam concrete (H</w:t>
      </w:r>
      <w:r w:rsidR="00187005">
        <w:t>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w:t>
      </w:r>
      <w:r>
        <w:t>erties and characteristics of HFC. Its compo</w:t>
      </w:r>
      <w:r w:rsidR="00187005">
        <w:t>sition typically consists of cement, water, foam, additives, and the various manufacturing methods used to produce it</w:t>
      </w:r>
      <w:r>
        <w:t>—the mechanical properties of H</w:t>
      </w:r>
      <w:r w:rsidR="00187005">
        <w:t>FC, including its compres</w:t>
      </w:r>
      <w:r>
        <w:t>sive strength. The density of H</w:t>
      </w:r>
      <w:r w:rsidR="00187005">
        <w:t>FC can vary greatly, usually falling between 100 and 600 kg/m</w:t>
      </w:r>
      <w:r w:rsidR="00187005" w:rsidRPr="00BA6ABD">
        <w:rPr>
          <w:vertAlign w:val="superscript"/>
        </w:rPr>
        <w:t>3</w:t>
      </w:r>
      <w:r w:rsidR="00187005">
        <w:t>. The diversity of this can be affected by different factors, such as the kind and number of additives applied and the methods of foaming and thickening employed. The paper highlight</w:t>
      </w:r>
      <w:r>
        <w:t>s the various applications of H</w:t>
      </w:r>
      <w:r w:rsidR="00187005">
        <w:t>FC in the construction industry</w:t>
      </w:r>
      <w:r w:rsidR="001D12F1">
        <w:t>.</w:t>
      </w:r>
    </w:p>
    <w:p w:rsidR="00742BBB" w:rsidRDefault="00057D98" w:rsidP="00182C66">
      <w:pPr>
        <w:pStyle w:val="Heading3"/>
        <w:spacing w:line="480" w:lineRule="auto"/>
        <w:jc w:val="both"/>
      </w:pPr>
      <w:bookmarkStart w:id="2" w:name="_Toc183546516"/>
      <w:r>
        <w:t>2.1.</w:t>
      </w:r>
      <w:r w:rsidR="00742BBB">
        <w:t xml:space="preserve"> Hybrid Foam Concrete</w:t>
      </w:r>
      <w:bookmarkEnd w:id="2"/>
    </w:p>
    <w:p w:rsidR="00187005" w:rsidRPr="00187005" w:rsidRDefault="00187005" w:rsidP="00182C66">
      <w:pPr>
        <w:spacing w:after="0" w:line="480" w:lineRule="auto"/>
        <w:ind w:firstLine="720"/>
        <w:jc w:val="both"/>
      </w:pPr>
      <w:r>
        <w:t>Hybrid foam concrete (HFC) is a cost-effective and commonly available lightweight construction material that incorporates air voids created by the addition of pre-made foam to the concrete combination (G. Calis et al., 2021). It contains basic components like cement, water, fine sand, and stable foam. The density of foamed concrete can be modified from 100 kg/m</w:t>
      </w:r>
      <w:r w:rsidRPr="003A610A">
        <w:rPr>
          <w:vertAlign w:val="superscript"/>
        </w:rPr>
        <w:t>3</w:t>
      </w:r>
      <w:r>
        <w:t xml:space="preserve"> to 600 kg/m</w:t>
      </w:r>
      <w:r w:rsidRPr="003A610A">
        <w:rPr>
          <w:vertAlign w:val="superscript"/>
        </w:rPr>
        <w:t>3</w:t>
      </w:r>
      <w:r>
        <w:t xml:space="preserve"> to suit various construction requirements (M. Alharthai et al., 2024). It is suitable for both load-bearing and non-load-bearing applications, with very low densities being particularly useful in providing fire resistance, sound absorption, and thermal insulation. HFC is a porous cement-based product with a dry density of about 300 kg/m3 and a porosity of more than 80 % (pore size is greater than a few hundred microns) (W. Sheet al., 2014). The mechanical performance of HFC </w:t>
      </w:r>
      <w:r>
        <w:lastRenderedPageBreak/>
        <w:t>with varying densities has reported performance increases as the dry density increases (D. Falliano., 2018).</w:t>
      </w:r>
    </w:p>
    <w:p w:rsidR="00BD776D" w:rsidRDefault="00D66FC3" w:rsidP="00182C66">
      <w:pPr>
        <w:spacing w:after="0" w:line="480" w:lineRule="auto"/>
        <w:ind w:firstLine="720"/>
        <w:jc w:val="both"/>
      </w:pPr>
      <w:r>
        <w:rPr>
          <w:rFonts w:cs="Times New Roman"/>
          <w:color w:val="1F1F1F"/>
        </w:rPr>
        <w:t>H</w:t>
      </w:r>
      <w:r w:rsidR="003A610A">
        <w:rPr>
          <w:rFonts w:cs="Times New Roman"/>
          <w:color w:val="1F1F1F"/>
        </w:rPr>
        <w:t>FC</w:t>
      </w:r>
      <w:r w:rsidR="00742BBB" w:rsidRPr="004F1FCF">
        <w:rPr>
          <w:rFonts w:cs="Times New Roman"/>
          <w:color w:val="1F1F1F"/>
        </w:rPr>
        <w:t xml:space="preserve"> is a lightweight concrete typically produced by integrating pre-formed foam into freshly prepared cement paste or mortar (</w:t>
      </w:r>
      <w:r w:rsidR="00742BBB" w:rsidRPr="004F1FCF">
        <w:rPr>
          <w:rFonts w:cs="Times New Roman"/>
        </w:rPr>
        <w:t>Hashim &amp; Tantray 2021)</w:t>
      </w:r>
      <w:r w:rsidR="00742BBB" w:rsidRPr="004F1FCF">
        <w:rPr>
          <w:rFonts w:cs="Times New Roman"/>
          <w:color w:val="1F1F1F"/>
        </w:rPr>
        <w:t>.</w:t>
      </w:r>
      <w:r w:rsidR="00742BBB" w:rsidRPr="004F1FCF">
        <w:rPr>
          <w:rFonts w:cs="Times New Roman"/>
        </w:rPr>
        <w:t xml:space="preserve"> </w:t>
      </w:r>
      <w:r w:rsidR="003A610A">
        <w:rPr>
          <w:rFonts w:cs="Times New Roman"/>
        </w:rPr>
        <w:t>HFC</w:t>
      </w:r>
      <w:r w:rsidR="00742BBB">
        <w:t xml:space="preserv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Amran et al., 2015).</w:t>
      </w:r>
    </w:p>
    <w:p w:rsidR="00BD776D" w:rsidRDefault="00057D98" w:rsidP="00182C66">
      <w:pPr>
        <w:pStyle w:val="Heading4"/>
        <w:spacing w:line="480" w:lineRule="auto"/>
        <w:jc w:val="both"/>
      </w:pPr>
      <w:r>
        <w:t>2.1.</w:t>
      </w:r>
      <w:r w:rsidR="00BD776D" w:rsidRPr="00BD776D">
        <w:t>1</w:t>
      </w:r>
      <w:r>
        <w:t>.</w:t>
      </w:r>
      <w:r w:rsidR="00BD776D" w:rsidRPr="00BD776D">
        <w:t xml:space="preserve"> Properties of Hybrid Foam Concrete</w:t>
      </w:r>
    </w:p>
    <w:p w:rsidR="00BD776D" w:rsidRDefault="00187005" w:rsidP="004F00EC">
      <w:pPr>
        <w:spacing w:line="480" w:lineRule="auto"/>
        <w:ind w:firstLine="720"/>
        <w:jc w:val="both"/>
      </w:pPr>
      <w:r>
        <w:t>In this paper, the properties of foamed concrete are classified into fresh, mechanical, physical, durability, and functional properties. Each property has its own specific characteristics influenced by the manufacturing process and performance quality. The fresh state of the foamed concrete includes the mixture consistency</w:t>
      </w:r>
      <w:r w:rsidR="00BA6ABD">
        <w:t>, rheology</w:t>
      </w:r>
      <w:r>
        <w:t xml:space="preserve"> and stability. In the hardened state, the authors focus on physical, functional and mechanical properties as described in the following paragraphs.</w:t>
      </w:r>
    </w:p>
    <w:p w:rsidR="00DE1141" w:rsidRPr="00057D98" w:rsidRDefault="00DE1141" w:rsidP="00182C66">
      <w:pPr>
        <w:pStyle w:val="Heading5"/>
        <w:spacing w:line="480" w:lineRule="auto"/>
        <w:jc w:val="both"/>
        <w:rPr>
          <w:rFonts w:cs="Times New Roman"/>
        </w:rPr>
      </w:pPr>
      <w:r w:rsidRPr="00057D98">
        <w:rPr>
          <w:rFonts w:cs="Times New Roman"/>
        </w:rPr>
        <w:t>2.1.</w:t>
      </w:r>
      <w:r w:rsidR="00057D98" w:rsidRPr="00057D98">
        <w:rPr>
          <w:rFonts w:cs="Times New Roman"/>
        </w:rPr>
        <w:t>1.1.</w:t>
      </w:r>
      <w:r w:rsidRPr="00057D98">
        <w:rPr>
          <w:rFonts w:cs="Times New Roman"/>
        </w:rPr>
        <w:t xml:space="preserve"> Fresh properties</w:t>
      </w:r>
    </w:p>
    <w:p w:rsidR="00187005" w:rsidRDefault="00187005" w:rsidP="00182C66">
      <w:pPr>
        <w:spacing w:line="480" w:lineRule="auto"/>
        <w:ind w:firstLine="360"/>
        <w:jc w:val="both"/>
      </w:pPr>
      <w:r>
        <w:t xml:space="preserve">In the fresh state, the foam concrete mix has a flowing </w:t>
      </w:r>
      <w:r w:rsidR="00BA6ABD">
        <w:t>and self-compacting rheology (M.R. Jones</w:t>
      </w:r>
      <w:r w:rsidR="00182C66">
        <w:t>,</w:t>
      </w:r>
      <w:r w:rsidR="00BA6ABD">
        <w:t xml:space="preserve"> et al., 2005)</w:t>
      </w:r>
      <w:r>
        <w:t>. Hence, different parameters such as consistency and rheology, stability, workability and compatibility should be taken into account. These parameters are mostly influenced by the proportion of either water to cement (w/c), supplementary materials, fine/course aggregate, plasticizers, and the volume and type of foam agents added</w:t>
      </w:r>
      <w:r w:rsidR="00DE1141">
        <w:t>.</w:t>
      </w:r>
    </w:p>
    <w:p w:rsidR="00DE1141" w:rsidRDefault="00DE1141" w:rsidP="00182C66">
      <w:pPr>
        <w:pStyle w:val="ListParagraph"/>
        <w:numPr>
          <w:ilvl w:val="0"/>
          <w:numId w:val="7"/>
        </w:numPr>
        <w:spacing w:line="480" w:lineRule="auto"/>
        <w:jc w:val="both"/>
      </w:pPr>
      <w:r>
        <w:t>Consistency and rheology</w:t>
      </w:r>
    </w:p>
    <w:p w:rsidR="00DE1141" w:rsidRDefault="00DE1141" w:rsidP="004F00EC">
      <w:pPr>
        <w:spacing w:line="480" w:lineRule="auto"/>
        <w:ind w:left="720" w:firstLine="720"/>
        <w:jc w:val="both"/>
      </w:pPr>
      <w:r>
        <w:lastRenderedPageBreak/>
        <w:t>The consistency and rheology are first assessments of fresh foamed concrete; they are usually measured by a flow cone and the flow marsh test to investigate the mixture performance</w:t>
      </w:r>
      <w:r w:rsidRPr="00DE1141">
        <w:t xml:space="preserve"> </w:t>
      </w:r>
      <w:r>
        <w:t>(E.P. Kearsley</w:t>
      </w:r>
      <w:r w:rsidR="00182C66">
        <w:t>,</w:t>
      </w:r>
      <w:r w:rsidR="00BB2217">
        <w:t xml:space="preserve"> et al., 2001). </w:t>
      </w:r>
      <w:r>
        <w:t xml:space="preserve">The performance of consistency and rheology of foamed concrete is acceptable when the spreadability of fresh concrete mixes is limited between 40% and 60% of the flowing time. The </w:t>
      </w:r>
      <w:r w:rsidR="00BB2217">
        <w:t>flowing time should be within 20</w:t>
      </w:r>
      <w:r>
        <w:t>s for a sufficient mix to be placed into molds and get self-compacted without any external aids</w:t>
      </w:r>
      <w:r w:rsidR="00BB2217">
        <w:t xml:space="preserve"> (K. Ramamurthy</w:t>
      </w:r>
      <w:r w:rsidR="00182C66">
        <w:t>,</w:t>
      </w:r>
      <w:r w:rsidR="00BB2217">
        <w:t xml:space="preserve"> et al., 2008)</w:t>
      </w:r>
      <w:r>
        <w:t xml:space="preserve">. Reportedly, different factors influence the consistency and rheology of the mix; which are basically related to the mix design constituents. One important factor that affects rheology and consistency of the fresh foamed concrete is the water content in the mix design. It was recommended that the water to cement ratio should be minimized because the excessive volume of water causes segregation of foamed concrete during casting which affects </w:t>
      </w:r>
      <w:r w:rsidR="00BB2217">
        <w:t>the workability performance (R.C. Valore Jr., 1956).</w:t>
      </w:r>
    </w:p>
    <w:p w:rsidR="00BB2217" w:rsidRDefault="00BB2217" w:rsidP="00182C66">
      <w:pPr>
        <w:pStyle w:val="ListParagraph"/>
        <w:numPr>
          <w:ilvl w:val="0"/>
          <w:numId w:val="7"/>
        </w:numPr>
        <w:spacing w:line="480" w:lineRule="auto"/>
        <w:jc w:val="both"/>
      </w:pPr>
      <w:r>
        <w:t>Stability</w:t>
      </w:r>
    </w:p>
    <w:p w:rsidR="00BB2217" w:rsidRDefault="00BB2217" w:rsidP="004F00EC">
      <w:pPr>
        <w:spacing w:line="480" w:lineRule="auto"/>
        <w:ind w:left="720" w:firstLine="720"/>
        <w:jc w:val="both"/>
      </w:pPr>
      <w:r>
        <w:t>The state of stability is an adhesive behavior of foamed concrete mix design constituents, and their consistency a</w:t>
      </w:r>
      <w:r w:rsidR="0077302D">
        <w:t>nd cohesiveness as a system</w:t>
      </w:r>
      <w:r>
        <w:t>. Foamed concrete is classified as a homogeneous foamed concrete when mixes have a creamy, easily pourable and closely fluid consistency which results in a fresh mix free of blee</w:t>
      </w:r>
      <w:r w:rsidR="0077302D">
        <w:t>d</w:t>
      </w:r>
      <w:r>
        <w:t xml:space="preserve">ing and segregation </w:t>
      </w:r>
      <w:r w:rsidR="0077302D">
        <w:t xml:space="preserve">(R.C. Valore Jr., 1956). </w:t>
      </w:r>
      <w:r>
        <w:t>It is reported that the mixture composition is prepared with a right mix design method and a correct calculation procedure when the difference between the achieved plastic density and the desirable plastic dens</w:t>
      </w:r>
      <w:r w:rsidR="0077302D">
        <w:t>ity does not exceed 2–7% (N. Narayanan</w:t>
      </w:r>
      <w:r w:rsidR="00182C66">
        <w:t>,</w:t>
      </w:r>
      <w:r w:rsidR="0077302D">
        <w:t xml:space="preserve"> et al., 1999)</w:t>
      </w:r>
      <w:r>
        <w:t>.</w:t>
      </w:r>
    </w:p>
    <w:p w:rsidR="0077302D" w:rsidRDefault="0077302D" w:rsidP="00182C66">
      <w:pPr>
        <w:pStyle w:val="ListParagraph"/>
        <w:numPr>
          <w:ilvl w:val="0"/>
          <w:numId w:val="7"/>
        </w:numPr>
        <w:spacing w:line="480" w:lineRule="auto"/>
        <w:jc w:val="both"/>
      </w:pPr>
      <w:r>
        <w:t>Compatibility</w:t>
      </w:r>
    </w:p>
    <w:p w:rsidR="0077302D" w:rsidRDefault="0077302D" w:rsidP="004F00EC">
      <w:pPr>
        <w:pStyle w:val="ListParagraph"/>
        <w:spacing w:line="480" w:lineRule="auto"/>
        <w:ind w:firstLine="720"/>
        <w:jc w:val="both"/>
      </w:pPr>
      <w:r>
        <w:lastRenderedPageBreak/>
        <w:t>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design admixtures, the segregation problem usually occurs when there is no interaction between the surfactant and plasticizers (K.C. Brady</w:t>
      </w:r>
      <w:r w:rsidR="00182C66">
        <w:t>,</w:t>
      </w:r>
      <w:r>
        <w:t xml:space="preserve"> et al., 2001).</w:t>
      </w:r>
    </w:p>
    <w:p w:rsidR="007E7F73" w:rsidRDefault="007E7F73" w:rsidP="00182C66">
      <w:pPr>
        <w:pStyle w:val="ListParagraph"/>
        <w:numPr>
          <w:ilvl w:val="0"/>
          <w:numId w:val="7"/>
        </w:numPr>
        <w:spacing w:line="480" w:lineRule="auto"/>
        <w:jc w:val="both"/>
      </w:pPr>
      <w:r>
        <w:t>Workability</w:t>
      </w:r>
    </w:p>
    <w:p w:rsidR="007E7F73" w:rsidRDefault="007E7F73" w:rsidP="00182C66">
      <w:pPr>
        <w:pStyle w:val="ListParagraph"/>
        <w:spacing w:line="480" w:lineRule="auto"/>
        <w:jc w:val="both"/>
      </w:pPr>
      <w:r>
        <w:t xml:space="preserve"> </w:t>
      </w:r>
      <w:r w:rsidR="004F00EC">
        <w:tab/>
      </w:r>
      <w:r>
        <w:t>Workability of foamed concrete shows an excellent performance through the presence of air-voids in the fresh mix due to the addition of stable foam agent (S. Karl</w:t>
      </w:r>
      <w:r w:rsidR="00182C66">
        <w:t>,</w:t>
      </w:r>
      <w:r>
        <w:t xml:space="preserve"> et al., 1994). Workability test, commonly conducted by a slump test for the normal concrete is not applicable for low density fresh concrete specified by BS EN 12350: Part 2, part 6. Foamed concrete workability performance is visually evaluated, which aims to achieve an appropriate viscosity of the mix. Besides, Brewer measured the workability of foamed concrete using a method called spreadability. Brewer recommended this test on a fresh mix of low-strength materials (e.g. foamed concrete) by measuring the spread in two directions of a sample placed in a 75 mm diameter and 150 mm long open-ended cylinder, after the cylinder was raised vertically. The average of the two measured diameters was calculated and reported to the nearest 5 mm (W.E. Brewer</w:t>
      </w:r>
      <w:r w:rsidR="00182C66">
        <w:t>,</w:t>
      </w:r>
      <w:r>
        <w:t xml:space="preserve"> 1996).</w:t>
      </w:r>
    </w:p>
    <w:p w:rsidR="00ED748C" w:rsidRDefault="00057D98" w:rsidP="00182C66">
      <w:pPr>
        <w:pStyle w:val="Heading5"/>
        <w:spacing w:line="480" w:lineRule="auto"/>
        <w:jc w:val="both"/>
      </w:pPr>
      <w:r>
        <w:t>2.1.1</w:t>
      </w:r>
      <w:r w:rsidR="00ED748C">
        <w:t xml:space="preserve">.2. Mechanical properties </w:t>
      </w:r>
    </w:p>
    <w:p w:rsidR="007E7F73" w:rsidRDefault="00ED748C" w:rsidP="004F00EC">
      <w:pPr>
        <w:spacing w:line="480" w:lineRule="auto"/>
        <w:ind w:firstLine="360"/>
        <w:jc w:val="both"/>
      </w:pPr>
      <w:r>
        <w:t xml:space="preserve">Mechanical properties are considered as the most important factors to measure applicability of foamed concrete at the hardened state. In this paper, compressive, flexural and tensile strengths, and modulus of elasticity are reviewed to provide the reader with the state of art of foamed concrete </w:t>
      </w:r>
      <w:r>
        <w:lastRenderedPageBreak/>
        <w:t>today.</w:t>
      </w:r>
      <w:r w:rsidR="00370308" w:rsidRPr="00370308">
        <w:t xml:space="preserve"> </w:t>
      </w:r>
      <w:r w:rsidR="00370308">
        <w:t>Furthermore, numerical models and empirical equations developed by researchers are b</w:t>
      </w:r>
      <w:r w:rsidR="007657C6">
        <w:t xml:space="preserve">riefly highlighted in </w:t>
      </w:r>
      <w:r w:rsidR="007657C6" w:rsidRPr="00FE68EF">
        <w:rPr>
          <w:b/>
        </w:rPr>
        <w:t>Tables 1</w:t>
      </w:r>
      <w:r w:rsidR="00FE68EF" w:rsidRPr="00FE68EF">
        <w:rPr>
          <w:b/>
        </w:rPr>
        <w:t>-4</w:t>
      </w:r>
    </w:p>
    <w:p w:rsidR="007657C6" w:rsidRPr="007657C6" w:rsidRDefault="007657C6" w:rsidP="007657C6">
      <w:pPr>
        <w:spacing w:line="480" w:lineRule="auto"/>
        <w:jc w:val="both"/>
        <w:rPr>
          <w:b/>
        </w:rPr>
      </w:pPr>
      <w:r w:rsidRPr="007657C6">
        <w:rPr>
          <w:b/>
        </w:rPr>
        <w:t>Table 1</w:t>
      </w:r>
    </w:p>
    <w:p w:rsidR="007657C6" w:rsidRDefault="007657C6" w:rsidP="007657C6">
      <w:pPr>
        <w:spacing w:line="480" w:lineRule="auto"/>
        <w:jc w:val="both"/>
      </w:pPr>
      <w:r>
        <w:t>Empirical model for foamed concrete compressive strength determination</w:t>
      </w:r>
    </w:p>
    <w:tbl>
      <w:tblPr>
        <w:tblStyle w:val="TableGrid"/>
        <w:tblW w:w="9640" w:type="dxa"/>
        <w:tblInd w:w="-147" w:type="dxa"/>
        <w:tblBorders>
          <w:insideV w:val="none" w:sz="0" w:space="0" w:color="auto"/>
        </w:tblBorders>
        <w:tblLook w:val="04A0" w:firstRow="1" w:lastRow="0" w:firstColumn="1" w:lastColumn="0" w:noHBand="0" w:noVBand="1"/>
      </w:tblPr>
      <w:tblGrid>
        <w:gridCol w:w="2197"/>
        <w:gridCol w:w="5072"/>
        <w:gridCol w:w="2371"/>
      </w:tblGrid>
      <w:tr w:rsidR="00370308" w:rsidTr="007657C6">
        <w:tc>
          <w:tcPr>
            <w:tcW w:w="2197" w:type="dxa"/>
            <w:tcBorders>
              <w:left w:val="nil"/>
              <w:bottom w:val="single" w:sz="4" w:space="0" w:color="auto"/>
            </w:tcBorders>
          </w:tcPr>
          <w:p w:rsidR="00370308" w:rsidRDefault="00370308" w:rsidP="00721C59">
            <w:pPr>
              <w:spacing w:line="480" w:lineRule="auto"/>
              <w:jc w:val="both"/>
            </w:pPr>
            <w:r>
              <w:t>Equations</w:t>
            </w:r>
          </w:p>
        </w:tc>
        <w:tc>
          <w:tcPr>
            <w:tcW w:w="5072" w:type="dxa"/>
            <w:tcBorders>
              <w:bottom w:val="single" w:sz="4" w:space="0" w:color="auto"/>
            </w:tcBorders>
          </w:tcPr>
          <w:p w:rsidR="00370308" w:rsidRDefault="00370308" w:rsidP="00721C59">
            <w:pPr>
              <w:spacing w:line="480" w:lineRule="auto"/>
              <w:jc w:val="both"/>
            </w:pPr>
            <w:r>
              <w:t>Annotations</w:t>
            </w:r>
          </w:p>
        </w:tc>
        <w:tc>
          <w:tcPr>
            <w:tcW w:w="2371" w:type="dxa"/>
            <w:tcBorders>
              <w:bottom w:val="single" w:sz="4" w:space="0" w:color="auto"/>
              <w:right w:val="nil"/>
            </w:tcBorders>
          </w:tcPr>
          <w:p w:rsidR="00370308" w:rsidRDefault="00370308" w:rsidP="00721C59">
            <w:pPr>
              <w:spacing w:line="480" w:lineRule="auto"/>
              <w:jc w:val="both"/>
            </w:pPr>
            <w:r>
              <w:t>Ref</w:t>
            </w:r>
          </w:p>
        </w:tc>
      </w:tr>
      <w:tr w:rsidR="007657C6" w:rsidTr="007657C6">
        <w:tc>
          <w:tcPr>
            <w:tcW w:w="2197" w:type="dxa"/>
            <w:tcBorders>
              <w:left w:val="nil"/>
              <w:bottom w:val="nil"/>
            </w:tcBorders>
          </w:tcPr>
          <w:p w:rsidR="00370308" w:rsidRDefault="00CA298B" w:rsidP="00721C59">
            <w:pPr>
              <w:spacing w:line="276" w:lineRule="auto"/>
            </w:pPr>
            <w:r w:rsidRPr="00CA298B">
              <w:rPr>
                <w:noProof/>
              </w:rPr>
              <w:drawing>
                <wp:inline distT="0" distB="0" distL="0" distR="0" wp14:anchorId="153AF763" wp14:editId="12315FCB">
                  <wp:extent cx="1181735" cy="42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57" t="-4651"/>
                          <a:stretch/>
                        </pic:blipFill>
                        <pic:spPr bwMode="auto">
                          <a:xfrm>
                            <a:off x="0" y="0"/>
                            <a:ext cx="1184611" cy="429653"/>
                          </a:xfrm>
                          <a:prstGeom prst="rect">
                            <a:avLst/>
                          </a:prstGeom>
                          <a:ln>
                            <a:noFill/>
                          </a:ln>
                          <a:extLst>
                            <a:ext uri="{53640926-AAD7-44D8-BBD7-CCE9431645EC}">
                              <a14:shadowObscured xmlns:a14="http://schemas.microsoft.com/office/drawing/2010/main"/>
                            </a:ext>
                          </a:extLst>
                        </pic:spPr>
                      </pic:pic>
                    </a:graphicData>
                  </a:graphic>
                </wp:inline>
              </w:drawing>
            </w:r>
          </w:p>
        </w:tc>
        <w:tc>
          <w:tcPr>
            <w:tcW w:w="5072" w:type="dxa"/>
            <w:tcBorders>
              <w:bottom w:val="nil"/>
            </w:tcBorders>
          </w:tcPr>
          <w:p w:rsidR="00370308" w:rsidRDefault="007E3EEA" w:rsidP="00721C59">
            <w:pPr>
              <w:spacing w:line="276" w:lineRule="auto"/>
            </w:pPr>
            <w:r w:rsidRPr="007E3EEA">
              <w:rPr>
                <w:i/>
              </w:rPr>
              <w:t>K</w:t>
            </w:r>
            <w:r>
              <w:t>= empirical constants, n = strength to gel-space ratio</w:t>
            </w:r>
          </w:p>
        </w:tc>
        <w:tc>
          <w:tcPr>
            <w:tcW w:w="2371" w:type="dxa"/>
            <w:tcBorders>
              <w:bottom w:val="nil"/>
              <w:right w:val="nil"/>
            </w:tcBorders>
          </w:tcPr>
          <w:p w:rsidR="00370308" w:rsidRDefault="00CC5E60" w:rsidP="00721C59">
            <w:pPr>
              <w:spacing w:line="276" w:lineRule="auto"/>
            </w:pPr>
            <w:r>
              <w:t>J.M. Durack, et al., 1998</w:t>
            </w:r>
            <w:r w:rsidR="00C32B2A">
              <w:t>.</w:t>
            </w:r>
          </w:p>
        </w:tc>
      </w:tr>
      <w:tr w:rsidR="007657C6" w:rsidTr="007657C6">
        <w:trPr>
          <w:trHeight w:val="860"/>
        </w:trPr>
        <w:tc>
          <w:tcPr>
            <w:tcW w:w="2197" w:type="dxa"/>
            <w:tcBorders>
              <w:top w:val="nil"/>
              <w:left w:val="nil"/>
              <w:bottom w:val="nil"/>
            </w:tcBorders>
          </w:tcPr>
          <w:p w:rsidR="00370308" w:rsidRPr="00CA298B" w:rsidRDefault="00CA298B" w:rsidP="00721C59">
            <w:pPr>
              <w:spacing w:line="276" w:lineRule="auto"/>
            </w:pPr>
            <w:r w:rsidRPr="00322CFD">
              <w:rPr>
                <w:i/>
              </w:rPr>
              <w:t>f</w:t>
            </w:r>
            <w:r w:rsidRPr="00322CFD">
              <w:rPr>
                <w:i/>
                <w:vertAlign w:val="subscript"/>
              </w:rPr>
              <w:t xml:space="preserve"> c</w:t>
            </w:r>
            <w:r>
              <w:rPr>
                <w:vertAlign w:val="subscript"/>
              </w:rPr>
              <w:t xml:space="preserve"> </w:t>
            </w:r>
            <w:r>
              <w:t xml:space="preserve">= </w:t>
            </w:r>
            <w:r w:rsidRPr="00322CFD">
              <w:rPr>
                <w:i/>
              </w:rPr>
              <w:t>K</w:t>
            </w:r>
            <w:r w:rsidRPr="00322CFD">
              <w:rPr>
                <w:i/>
                <w:vertAlign w:val="subscript"/>
              </w:rPr>
              <w:t>S</w:t>
            </w:r>
            <w:r>
              <w:rPr>
                <w:vertAlign w:val="subscript"/>
              </w:rPr>
              <w:t xml:space="preserve"> </w:t>
            </w:r>
            <w:r>
              <w:t>In [</w:t>
            </w:r>
            <w:r w:rsidRPr="00322CFD">
              <w:rPr>
                <w:i/>
              </w:rPr>
              <w:t>P</w:t>
            </w:r>
            <w:r w:rsidRPr="00322CFD">
              <w:rPr>
                <w:i/>
                <w:vertAlign w:val="subscript"/>
              </w:rPr>
              <w:t>c</w:t>
            </w:r>
            <w:r w:rsidRPr="00CA298B">
              <w:rPr>
                <w:vertAlign w:val="subscript"/>
              </w:rPr>
              <w:t>r</w:t>
            </w:r>
            <w:r w:rsidRPr="00322CFD">
              <w:rPr>
                <w:i/>
              </w:rPr>
              <w:t>/P</w:t>
            </w:r>
            <w:r>
              <w:t>]</w:t>
            </w:r>
          </w:p>
        </w:tc>
        <w:tc>
          <w:tcPr>
            <w:tcW w:w="5072" w:type="dxa"/>
            <w:tcBorders>
              <w:top w:val="nil"/>
              <w:bottom w:val="nil"/>
            </w:tcBorders>
          </w:tcPr>
          <w:p w:rsidR="00370308" w:rsidRDefault="007E3EEA" w:rsidP="00721C59">
            <w:pPr>
              <w:spacing w:line="276" w:lineRule="auto"/>
            </w:pPr>
            <w:r w:rsidRPr="00322CFD">
              <w:rPr>
                <w:i/>
              </w:rPr>
              <w:t>Pcr</w:t>
            </w:r>
            <w:r>
              <w:t xml:space="preserve"> = the critical porosity corresponding to zero strength</w:t>
            </w:r>
          </w:p>
          <w:p w:rsidR="007E3EEA" w:rsidRDefault="007E3EEA" w:rsidP="00721C59">
            <w:pPr>
              <w:spacing w:line="276" w:lineRule="auto"/>
            </w:pPr>
            <w:r w:rsidRPr="00322CFD">
              <w:rPr>
                <w:i/>
              </w:rPr>
              <w:t>Ks</w:t>
            </w:r>
            <w:r>
              <w:t xml:space="preserve"> = a constant, ‘‘Schiller’s equation”</w:t>
            </w:r>
          </w:p>
        </w:tc>
        <w:tc>
          <w:tcPr>
            <w:tcW w:w="2371" w:type="dxa"/>
            <w:tcBorders>
              <w:top w:val="nil"/>
              <w:bottom w:val="nil"/>
              <w:right w:val="nil"/>
            </w:tcBorders>
          </w:tcPr>
          <w:p w:rsidR="00370308" w:rsidRDefault="00CC5E60" w:rsidP="00721C59">
            <w:pPr>
              <w:spacing w:line="276" w:lineRule="auto"/>
            </w:pPr>
            <w:r>
              <w:t>M. Röbler, et al., 1985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rsidR="00CA298B">
              <w:rPr>
                <w:vertAlign w:val="subscript"/>
              </w:rPr>
              <w:t xml:space="preserve"> </w:t>
            </w:r>
            <w:r>
              <w:t>=</w:t>
            </w:r>
            <w:r w:rsidRPr="00322CFD">
              <w:rPr>
                <w:i/>
              </w:rPr>
              <w:t xml:space="preserve"> Kg</w:t>
            </w:r>
            <w:r w:rsidRPr="00322CFD">
              <w:rPr>
                <w:i/>
                <w:vertAlign w:val="superscript"/>
              </w:rPr>
              <w:t>n</w:t>
            </w:r>
          </w:p>
        </w:tc>
        <w:tc>
          <w:tcPr>
            <w:tcW w:w="5072" w:type="dxa"/>
            <w:tcBorders>
              <w:top w:val="nil"/>
              <w:bottom w:val="nil"/>
            </w:tcBorders>
          </w:tcPr>
          <w:p w:rsidR="00370308" w:rsidRDefault="007E3EEA" w:rsidP="00721C59">
            <w:pPr>
              <w:spacing w:line="276" w:lineRule="auto"/>
            </w:pPr>
            <w:r w:rsidRPr="00322CFD">
              <w:rPr>
                <w:i/>
              </w:rPr>
              <w:t>K</w:t>
            </w:r>
            <w:r>
              <w:t xml:space="preserve"> = the intrinsic strength of the gel g = the gel-space ratio (Power’s gel-space ratio)</w:t>
            </w:r>
          </w:p>
        </w:tc>
        <w:tc>
          <w:tcPr>
            <w:tcW w:w="2371" w:type="dxa"/>
            <w:tcBorders>
              <w:top w:val="nil"/>
              <w:bottom w:val="nil"/>
              <w:right w:val="nil"/>
            </w:tcBorders>
          </w:tcPr>
          <w:p w:rsidR="00370308" w:rsidRDefault="00CC5E60" w:rsidP="00721C59">
            <w:pPr>
              <w:spacing w:line="276" w:lineRule="auto"/>
            </w:pPr>
            <w:r>
              <w:t>A.M. Neville, et al., 1995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t xml:space="preserve"> = P</w:t>
            </w:r>
            <w:r w:rsidRPr="007E3EEA">
              <w:rPr>
                <w:vertAlign w:val="subscript"/>
              </w:rPr>
              <w:t>O</w:t>
            </w:r>
            <w:r>
              <w:t xml:space="preserve"> (1 - P)</w:t>
            </w:r>
            <w:r w:rsidRPr="007E3EEA">
              <w:rPr>
                <w:vertAlign w:val="superscript"/>
              </w:rPr>
              <w:t>n</w:t>
            </w:r>
          </w:p>
        </w:tc>
        <w:tc>
          <w:tcPr>
            <w:tcW w:w="5072" w:type="dxa"/>
            <w:tcBorders>
              <w:top w:val="nil"/>
              <w:bottom w:val="nil"/>
            </w:tcBorders>
          </w:tcPr>
          <w:p w:rsidR="00370308" w:rsidRDefault="007E3EEA" w:rsidP="00721C59">
            <w:pPr>
              <w:spacing w:line="276" w:lineRule="auto"/>
            </w:pPr>
            <w:r>
              <w:t>So = the strength at zero porosity n = a constant (Balshin’s expression</w:t>
            </w:r>
            <w:r w:rsidR="00CA298B">
              <w:t>)</w:t>
            </w:r>
          </w:p>
        </w:tc>
        <w:tc>
          <w:tcPr>
            <w:tcW w:w="2371" w:type="dxa"/>
            <w:tcBorders>
              <w:top w:val="nil"/>
              <w:bottom w:val="nil"/>
              <w:right w:val="nil"/>
            </w:tcBorders>
          </w:tcPr>
          <w:p w:rsidR="00370308" w:rsidRDefault="00CC5E60" w:rsidP="00721C59">
            <w:pPr>
              <w:spacing w:line="276" w:lineRule="auto"/>
            </w:pPr>
            <w:r>
              <w:t>N. Narayanan, et al., 1999</w:t>
            </w:r>
            <w:r w:rsidR="00C32B2A">
              <w:t>.</w:t>
            </w:r>
          </w:p>
        </w:tc>
      </w:tr>
      <w:tr w:rsidR="00370308" w:rsidTr="007657C6">
        <w:tc>
          <w:tcPr>
            <w:tcW w:w="2197" w:type="dxa"/>
            <w:tcBorders>
              <w:top w:val="nil"/>
              <w:left w:val="nil"/>
            </w:tcBorders>
          </w:tcPr>
          <w:p w:rsidR="00370308" w:rsidRDefault="007E3EEA" w:rsidP="00721C59">
            <w:pPr>
              <w:spacing w:line="276" w:lineRule="auto"/>
            </w:pPr>
            <w:r w:rsidRPr="00322CFD">
              <w:rPr>
                <w:i/>
              </w:rPr>
              <w:t>f</w:t>
            </w:r>
            <w:r w:rsidRPr="00322CFD">
              <w:rPr>
                <w:i/>
                <w:vertAlign w:val="subscript"/>
              </w:rPr>
              <w:t xml:space="preserve"> c</w:t>
            </w:r>
            <w:r w:rsidR="00CA298B">
              <w:t xml:space="preserve"> = 1.27 </w:t>
            </w:r>
            <w:r w:rsidR="00CA298B" w:rsidRPr="00322CFD">
              <w:rPr>
                <w:i/>
              </w:rPr>
              <w:t>f</w:t>
            </w:r>
            <w:r w:rsidR="00CA298B" w:rsidRPr="00322CFD">
              <w:rPr>
                <w:i/>
                <w:vertAlign w:val="subscript"/>
              </w:rPr>
              <w:t>c</w:t>
            </w:r>
            <w:r w:rsidR="00CA298B" w:rsidRPr="00CA298B">
              <w:rPr>
                <w:vertAlign w:val="subscript"/>
              </w:rPr>
              <w:t>7</w:t>
            </w:r>
            <w:r>
              <w:t xml:space="preserve"> + 2.57</w:t>
            </w:r>
          </w:p>
          <w:p w:rsidR="00CA298B" w:rsidRDefault="00CA298B" w:rsidP="00721C59">
            <w:pPr>
              <w:spacing w:line="276" w:lineRule="auto"/>
            </w:pPr>
            <w:r w:rsidRPr="00322CFD">
              <w:rPr>
                <w:i/>
              </w:rPr>
              <w:t>f</w:t>
            </w:r>
            <w:r w:rsidRPr="00322CFD">
              <w:rPr>
                <w:i/>
                <w:vertAlign w:val="subscript"/>
              </w:rPr>
              <w:t xml:space="preserve"> c</w:t>
            </w:r>
            <w:r>
              <w:t xml:space="preserve"> = 1.5 e</w:t>
            </w:r>
            <w:r w:rsidRPr="00CA298B">
              <w:rPr>
                <w:vertAlign w:val="superscript"/>
              </w:rPr>
              <w:t>5</w:t>
            </w:r>
            <w:r w:rsidRPr="00CA298B">
              <w:rPr>
                <w:rFonts w:cs="Times New Roman"/>
                <w:vertAlign w:val="superscript"/>
              </w:rPr>
              <w:t>µ</w:t>
            </w:r>
            <w:r>
              <w:t xml:space="preserve"> </w:t>
            </w:r>
            <w:r w:rsidRPr="00CA298B">
              <w:rPr>
                <w:vertAlign w:val="subscript"/>
              </w:rPr>
              <w:t>con</w:t>
            </w:r>
          </w:p>
        </w:tc>
        <w:tc>
          <w:tcPr>
            <w:tcW w:w="5072" w:type="dxa"/>
            <w:tcBorders>
              <w:top w:val="nil"/>
            </w:tcBorders>
          </w:tcPr>
          <w:p w:rsidR="00370308" w:rsidRDefault="007E3EEA" w:rsidP="00721C59">
            <w:pPr>
              <w:spacing w:line="276" w:lineRule="auto"/>
            </w:pPr>
            <w:r>
              <w:t>When using w/c = 0.5 and s/c = 0 and using polymer foam agent</w:t>
            </w:r>
          </w:p>
        </w:tc>
        <w:tc>
          <w:tcPr>
            <w:tcW w:w="2371" w:type="dxa"/>
            <w:tcBorders>
              <w:top w:val="nil"/>
              <w:right w:val="nil"/>
            </w:tcBorders>
          </w:tcPr>
          <w:p w:rsidR="00370308" w:rsidRDefault="00CC5E60" w:rsidP="00721C59">
            <w:pPr>
              <w:spacing w:line="276" w:lineRule="auto"/>
            </w:pPr>
            <w:r>
              <w:t>K.J. Byun, et al., 1998</w:t>
            </w:r>
            <w:r w:rsidR="00C32B2A">
              <w:t>.</w:t>
            </w:r>
          </w:p>
        </w:tc>
      </w:tr>
    </w:tbl>
    <w:p w:rsidR="00370308" w:rsidRDefault="00370308" w:rsidP="004F00EC">
      <w:pPr>
        <w:spacing w:line="480" w:lineRule="auto"/>
        <w:ind w:firstLine="360"/>
        <w:jc w:val="both"/>
      </w:pPr>
    </w:p>
    <w:p w:rsidR="00B44BAE" w:rsidRPr="00B44BAE" w:rsidRDefault="00B44BAE" w:rsidP="00B44BAE">
      <w:pPr>
        <w:spacing w:line="480" w:lineRule="auto"/>
        <w:jc w:val="both"/>
        <w:rPr>
          <w:b/>
        </w:rPr>
      </w:pPr>
      <w:r w:rsidRPr="00B44BAE">
        <w:rPr>
          <w:b/>
        </w:rPr>
        <w:t>Table 2</w:t>
      </w:r>
    </w:p>
    <w:p w:rsidR="00B44BAE" w:rsidRDefault="00B44BAE" w:rsidP="00B44BAE">
      <w:pPr>
        <w:spacing w:line="480" w:lineRule="auto"/>
        <w:jc w:val="both"/>
      </w:pPr>
      <w:r>
        <w:t>Empirical model for foamed concrete tensile strength determination.</w:t>
      </w:r>
    </w:p>
    <w:tbl>
      <w:tblPr>
        <w:tblStyle w:val="TableGrid"/>
        <w:tblW w:w="0" w:type="auto"/>
        <w:tblLook w:val="04A0" w:firstRow="1" w:lastRow="0" w:firstColumn="1" w:lastColumn="0" w:noHBand="0" w:noVBand="1"/>
      </w:tblPr>
      <w:tblGrid>
        <w:gridCol w:w="3116"/>
        <w:gridCol w:w="3117"/>
        <w:gridCol w:w="3117"/>
      </w:tblGrid>
      <w:tr w:rsidR="00E11E13" w:rsidTr="00A67CF7">
        <w:tc>
          <w:tcPr>
            <w:tcW w:w="3116" w:type="dxa"/>
            <w:tcBorders>
              <w:left w:val="nil"/>
              <w:bottom w:val="single" w:sz="4" w:space="0" w:color="auto"/>
              <w:right w:val="nil"/>
            </w:tcBorders>
          </w:tcPr>
          <w:p w:rsidR="00E11E13" w:rsidRDefault="00721C59" w:rsidP="00721C59">
            <w:pPr>
              <w:spacing w:line="480" w:lineRule="auto"/>
            </w:pPr>
            <w:r>
              <w:t>Equations</w:t>
            </w:r>
          </w:p>
        </w:tc>
        <w:tc>
          <w:tcPr>
            <w:tcW w:w="3117" w:type="dxa"/>
            <w:tcBorders>
              <w:left w:val="nil"/>
              <w:bottom w:val="single" w:sz="4" w:space="0" w:color="auto"/>
              <w:right w:val="nil"/>
            </w:tcBorders>
          </w:tcPr>
          <w:p w:rsidR="00E11E13" w:rsidRDefault="00721C59" w:rsidP="00721C59">
            <w:pPr>
              <w:spacing w:line="480" w:lineRule="auto"/>
            </w:pPr>
            <w:r>
              <w:t>Annotations</w:t>
            </w:r>
          </w:p>
        </w:tc>
        <w:tc>
          <w:tcPr>
            <w:tcW w:w="3117" w:type="dxa"/>
            <w:tcBorders>
              <w:left w:val="nil"/>
              <w:bottom w:val="single" w:sz="4" w:space="0" w:color="auto"/>
              <w:right w:val="nil"/>
            </w:tcBorders>
          </w:tcPr>
          <w:p w:rsidR="00E11E13" w:rsidRDefault="00721C59" w:rsidP="00721C59">
            <w:pPr>
              <w:spacing w:line="480" w:lineRule="auto"/>
            </w:pPr>
            <w:r>
              <w:t>Ref</w:t>
            </w:r>
          </w:p>
        </w:tc>
      </w:tr>
      <w:tr w:rsidR="00721C59" w:rsidTr="00A67CF7">
        <w:tc>
          <w:tcPr>
            <w:tcW w:w="3116" w:type="dxa"/>
            <w:tcBorders>
              <w:top w:val="single" w:sz="4" w:space="0" w:color="auto"/>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0.20(f</w:t>
            </w:r>
            <w:r w:rsidRPr="00435BF8">
              <w:rPr>
                <w:vertAlign w:val="subscript"/>
              </w:rPr>
              <w:t>c</w:t>
            </w:r>
            <w:r w:rsidRPr="00435BF8">
              <w:t>)</w:t>
            </w:r>
            <w:r w:rsidRPr="00435BF8">
              <w:rPr>
                <w:vertAlign w:val="superscript"/>
              </w:rPr>
              <w:t>0.70</w:t>
            </w:r>
          </w:p>
        </w:tc>
        <w:tc>
          <w:tcPr>
            <w:tcW w:w="3117" w:type="dxa"/>
            <w:tcBorders>
              <w:top w:val="single" w:sz="4" w:space="0" w:color="auto"/>
              <w:left w:val="nil"/>
              <w:bottom w:val="nil"/>
              <w:right w:val="nil"/>
            </w:tcBorders>
          </w:tcPr>
          <w:p w:rsidR="00721C59" w:rsidRDefault="00721C59" w:rsidP="00721C59">
            <w:pPr>
              <w:spacing w:line="276" w:lineRule="auto"/>
            </w:pPr>
            <w:r>
              <w:t>For density between 1400 and 1800 kg/m3</w:t>
            </w:r>
          </w:p>
        </w:tc>
        <w:tc>
          <w:tcPr>
            <w:tcW w:w="3117" w:type="dxa"/>
            <w:tcBorders>
              <w:top w:val="single" w:sz="4" w:space="0" w:color="auto"/>
              <w:left w:val="nil"/>
              <w:bottom w:val="nil"/>
              <w:right w:val="nil"/>
            </w:tcBorders>
          </w:tcPr>
          <w:p w:rsidR="00721C59" w:rsidRDefault="00A67CF7" w:rsidP="00A67CF7">
            <w:pPr>
              <w:spacing w:line="276" w:lineRule="auto"/>
            </w:pPr>
            <w:r>
              <w:t>F. Oluokun, et al., 1991</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0.67</w:t>
            </w:r>
          </w:p>
        </w:tc>
        <w:tc>
          <w:tcPr>
            <w:tcW w:w="3117" w:type="dxa"/>
            <w:tcBorders>
              <w:top w:val="nil"/>
              <w:left w:val="nil"/>
              <w:bottom w:val="nil"/>
              <w:right w:val="nil"/>
            </w:tcBorders>
          </w:tcPr>
          <w:p w:rsidR="00721C59" w:rsidRDefault="00721C59" w:rsidP="00721C59">
            <w:pPr>
              <w:spacing w:line="276" w:lineRule="auto"/>
            </w:pPr>
            <w:r w:rsidRPr="00AF0CD9">
              <w:rPr>
                <w:i/>
              </w:rPr>
              <w:t>f</w:t>
            </w:r>
            <w:r w:rsidRPr="00721C59">
              <w:rPr>
                <w:vertAlign w:val="subscript"/>
              </w:rPr>
              <w:t>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Thomas Telford, 1993</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1.</w:t>
            </w:r>
            <w:r w:rsidRPr="00435BF8">
              <w:t>0</w:t>
            </w:r>
            <w:r>
              <w:t>3</w:t>
            </w:r>
            <w:r w:rsidRPr="00435BF8">
              <w:t>(f</w:t>
            </w:r>
            <w:r w:rsidRPr="00435BF8">
              <w:rPr>
                <w:vertAlign w:val="subscript"/>
              </w:rPr>
              <w:t>c</w:t>
            </w:r>
            <w:r w:rsidRPr="00435BF8">
              <w:t>)</w:t>
            </w:r>
            <w:r>
              <w:rPr>
                <w:vertAlign w:val="superscript"/>
              </w:rPr>
              <w:t>0.50</w:t>
            </w:r>
          </w:p>
        </w:tc>
        <w:tc>
          <w:tcPr>
            <w:tcW w:w="3117" w:type="dxa"/>
            <w:tcBorders>
              <w:top w:val="nil"/>
              <w:left w:val="nil"/>
              <w:bottom w:val="nil"/>
              <w:right w:val="nil"/>
            </w:tcBorders>
          </w:tcPr>
          <w:p w:rsidR="00721C59" w:rsidRDefault="00721C59" w:rsidP="00721C59">
            <w:pPr>
              <w:spacing w:line="276" w:lineRule="auto"/>
            </w:pPr>
            <w:r>
              <w:t xml:space="preserve">When w/c = 0.5 and </w:t>
            </w:r>
            <w:r w:rsidRPr="00322CFD">
              <w:rPr>
                <w:i/>
              </w:rPr>
              <w:t>fc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K.J. Byun, et al., 1998</w:t>
            </w:r>
            <w:r w:rsidR="00C32B2A">
              <w:t>.</w:t>
            </w:r>
          </w:p>
        </w:tc>
      </w:tr>
      <w:tr w:rsidR="00721C59" w:rsidTr="00A67CF7">
        <w:tc>
          <w:tcPr>
            <w:tcW w:w="3116" w:type="dxa"/>
            <w:tcBorders>
              <w:top w:val="nil"/>
              <w:left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2/3</w:t>
            </w:r>
          </w:p>
        </w:tc>
        <w:tc>
          <w:tcPr>
            <w:tcW w:w="3117" w:type="dxa"/>
            <w:tcBorders>
              <w:top w:val="nil"/>
              <w:left w:val="nil"/>
              <w:right w:val="nil"/>
            </w:tcBorders>
          </w:tcPr>
          <w:p w:rsidR="00721C59" w:rsidRDefault="00721C59" w:rsidP="00721C59">
            <w:pPr>
              <w:spacing w:line="276" w:lineRule="auto"/>
            </w:pPr>
            <w:r w:rsidRPr="00322CFD">
              <w:rPr>
                <w:i/>
              </w:rPr>
              <w:t>f</w:t>
            </w:r>
            <w:r w:rsidRPr="00721C59">
              <w:rPr>
                <w:vertAlign w:val="subscript"/>
              </w:rPr>
              <w:t>c</w:t>
            </w:r>
            <w:r>
              <w:t xml:space="preserve"> = compressive strength while using lightweight aggregate concrete</w:t>
            </w:r>
          </w:p>
        </w:tc>
        <w:tc>
          <w:tcPr>
            <w:tcW w:w="3117" w:type="dxa"/>
            <w:tcBorders>
              <w:top w:val="nil"/>
              <w:left w:val="nil"/>
              <w:right w:val="nil"/>
            </w:tcBorders>
          </w:tcPr>
          <w:p w:rsidR="00721C59" w:rsidRDefault="00A67CF7" w:rsidP="00A67CF7">
            <w:pPr>
              <w:spacing w:line="276" w:lineRule="auto"/>
            </w:pPr>
            <w:r>
              <w:t>Bulletin D’Information (1990)</w:t>
            </w:r>
            <w:r w:rsidR="00C32B2A">
              <w:t>.</w:t>
            </w:r>
          </w:p>
        </w:tc>
      </w:tr>
    </w:tbl>
    <w:p w:rsidR="00B44BAE" w:rsidRPr="00B44BAE" w:rsidRDefault="00B44BAE" w:rsidP="00B44BAE">
      <w:pPr>
        <w:spacing w:line="480" w:lineRule="auto"/>
        <w:jc w:val="both"/>
        <w:rPr>
          <w:b/>
        </w:rPr>
      </w:pPr>
      <w:r>
        <w:rPr>
          <w:b/>
        </w:rPr>
        <w:lastRenderedPageBreak/>
        <w:t>Table 3</w:t>
      </w:r>
    </w:p>
    <w:p w:rsidR="00B44BAE" w:rsidRDefault="00B44BAE" w:rsidP="00B44BAE">
      <w:pPr>
        <w:spacing w:line="480" w:lineRule="auto"/>
        <w:jc w:val="both"/>
      </w:pPr>
      <w:r>
        <w:t xml:space="preserve"> Empirical model for foamed concrete flexural strength determination.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97"/>
        <w:gridCol w:w="3974"/>
        <w:gridCol w:w="1979"/>
      </w:tblGrid>
      <w:tr w:rsidR="00B44BAE" w:rsidTr="0074381E">
        <w:tc>
          <w:tcPr>
            <w:tcW w:w="3397" w:type="dxa"/>
          </w:tcPr>
          <w:p w:rsidR="00B44BAE" w:rsidRDefault="00B44BAE" w:rsidP="00B44BAE">
            <w:pPr>
              <w:spacing w:line="480" w:lineRule="auto"/>
              <w:jc w:val="both"/>
            </w:pPr>
            <w:r>
              <w:t>Equations</w:t>
            </w:r>
          </w:p>
        </w:tc>
        <w:tc>
          <w:tcPr>
            <w:tcW w:w="3974" w:type="dxa"/>
          </w:tcPr>
          <w:p w:rsidR="00B44BAE" w:rsidRDefault="00B44BAE" w:rsidP="00B44BAE">
            <w:pPr>
              <w:spacing w:line="480" w:lineRule="auto"/>
              <w:jc w:val="both"/>
            </w:pPr>
            <w:r>
              <w:t>Annotations</w:t>
            </w:r>
          </w:p>
        </w:tc>
        <w:tc>
          <w:tcPr>
            <w:tcW w:w="1979" w:type="dxa"/>
          </w:tcPr>
          <w:p w:rsidR="00B44BAE" w:rsidRDefault="00B44BAE" w:rsidP="00B44BAE">
            <w:pPr>
              <w:spacing w:line="480" w:lineRule="auto"/>
              <w:jc w:val="both"/>
            </w:pPr>
            <w:r>
              <w:t>Ref</w:t>
            </w:r>
          </w:p>
        </w:tc>
      </w:tr>
      <w:tr w:rsidR="00B44BAE" w:rsidTr="0074381E">
        <w:trPr>
          <w:trHeight w:val="2682"/>
        </w:trPr>
        <w:tc>
          <w:tcPr>
            <w:tcW w:w="3397" w:type="dxa"/>
            <w:tcBorders>
              <w:bottom w:val="nil"/>
            </w:tcBorders>
          </w:tcPr>
          <w:p w:rsidR="00B44BAE" w:rsidRDefault="00B44BAE" w:rsidP="0074381E">
            <w:pPr>
              <w:spacing w:line="360" w:lineRule="auto"/>
            </w:pPr>
            <w:r w:rsidRPr="00AF0CD9">
              <w:rPr>
                <w:i/>
              </w:rPr>
              <w:t>f</w:t>
            </w:r>
            <w:r w:rsidRPr="00AF0CD9">
              <w:rPr>
                <w:i/>
                <w:vertAlign w:val="subscript"/>
              </w:rPr>
              <w:t>cr</w:t>
            </w:r>
            <w:r w:rsidR="00215D20">
              <w:rPr>
                <w:vertAlign w:val="subscript"/>
              </w:rPr>
              <w:t xml:space="preserve"> </w:t>
            </w:r>
            <w:r>
              <w:t xml:space="preserve">T = </w:t>
            </w:r>
            <w:r w:rsidRPr="00AF0CD9">
              <w:rPr>
                <w:i/>
              </w:rPr>
              <w:t>f</w:t>
            </w:r>
            <w:r w:rsidRPr="00AF0CD9">
              <w:rPr>
                <w:i/>
                <w:vertAlign w:val="subscript"/>
              </w:rPr>
              <w:t>cr</w:t>
            </w:r>
            <w:r>
              <w:t xml:space="preserve"> (-0.00526T + 1.01052)</w:t>
            </w:r>
          </w:p>
          <w:p w:rsidR="00B44BAE" w:rsidRDefault="00B44BAE" w:rsidP="0074381E">
            <w:pPr>
              <w:spacing w:line="360" w:lineRule="auto"/>
            </w:pPr>
            <w:r w:rsidRPr="00AF0CD9">
              <w:rPr>
                <w:i/>
              </w:rPr>
              <w:t>f</w:t>
            </w:r>
            <w:r w:rsidRPr="00AF0CD9">
              <w:rPr>
                <w:i/>
                <w:vertAlign w:val="subscript"/>
              </w:rPr>
              <w:t>cr</w:t>
            </w:r>
            <w:r>
              <w:t xml:space="preserve"> T =</w:t>
            </w:r>
            <w:r w:rsidRPr="00AF0CD9">
              <w:rPr>
                <w:i/>
              </w:rPr>
              <w:t xml:space="preserve"> f</w:t>
            </w:r>
            <w:r w:rsidRPr="00AF0CD9">
              <w:rPr>
                <w:i/>
                <w:vertAlign w:val="subscript"/>
              </w:rPr>
              <w:t>cr</w:t>
            </w:r>
            <w:r>
              <w:t xml:space="preserve"> (-0.025T + 1.8)</w:t>
            </w:r>
          </w:p>
          <w:p w:rsidR="00B44BAE" w:rsidRDefault="00B44BAE" w:rsidP="0074381E">
            <w:pPr>
              <w:spacing w:line="360" w:lineRule="auto"/>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(-0.0005T + 0.6)</w:t>
            </w:r>
          </w:p>
        </w:tc>
        <w:tc>
          <w:tcPr>
            <w:tcW w:w="3974" w:type="dxa"/>
            <w:tcBorders>
              <w:bottom w:val="nil"/>
            </w:tcBorders>
          </w:tcPr>
          <w:p w:rsidR="00B44BAE" w:rsidRDefault="00215D20" w:rsidP="0074381E">
            <w:pPr>
              <w:spacing w:line="360" w:lineRule="auto"/>
              <w:jc w:val="both"/>
            </w:pPr>
            <w:r>
              <w:t>20</w:t>
            </w:r>
            <w:r>
              <w:rPr>
                <w:vertAlign w:val="superscript"/>
              </w:rPr>
              <w:t>o</w:t>
            </w:r>
            <w:r>
              <w:t>C &lt; T &lt; 400</w:t>
            </w:r>
            <w:r>
              <w:rPr>
                <w:vertAlign w:val="superscript"/>
              </w:rPr>
              <w:t>o</w:t>
            </w:r>
            <w:r>
              <w:t>C</w:t>
            </w:r>
          </w:p>
          <w:p w:rsidR="00215D20" w:rsidRDefault="00215D20" w:rsidP="0074381E">
            <w:pPr>
              <w:spacing w:line="360" w:lineRule="auto"/>
              <w:jc w:val="both"/>
            </w:pPr>
            <w:r>
              <w:t>400</w:t>
            </w:r>
            <w:r>
              <w:rPr>
                <w:vertAlign w:val="superscript"/>
              </w:rPr>
              <w:t>o</w:t>
            </w:r>
            <w:r>
              <w:t>C &lt; T &lt; 600</w:t>
            </w:r>
            <w:r>
              <w:rPr>
                <w:vertAlign w:val="superscript"/>
              </w:rPr>
              <w:t>o</w:t>
            </w:r>
            <w:r>
              <w:t>C</w:t>
            </w:r>
          </w:p>
          <w:p w:rsidR="00215D20" w:rsidRDefault="00215D20" w:rsidP="0074381E">
            <w:pPr>
              <w:spacing w:line="360" w:lineRule="auto"/>
              <w:jc w:val="both"/>
            </w:pPr>
            <w:r>
              <w:t>600</w:t>
            </w:r>
            <w:r>
              <w:rPr>
                <w:vertAlign w:val="superscript"/>
              </w:rPr>
              <w:t>o</w:t>
            </w:r>
            <w:r>
              <w:t>C &lt; T &lt; 1000</w:t>
            </w:r>
            <w:r>
              <w:rPr>
                <w:vertAlign w:val="superscript"/>
              </w:rPr>
              <w:t>o</w:t>
            </w:r>
            <w:r>
              <w:t>C</w:t>
            </w:r>
          </w:p>
          <w:p w:rsidR="00215D20" w:rsidRDefault="00215D20" w:rsidP="0074381E">
            <w:pPr>
              <w:spacing w:line="360" w:lineRule="auto"/>
            </w:pPr>
            <w:r w:rsidRPr="00322CFD">
              <w:rPr>
                <w:i/>
              </w:rPr>
              <w:t>f</w:t>
            </w:r>
            <w:r w:rsidRPr="00322CFD">
              <w:rPr>
                <w:i/>
                <w:vertAlign w:val="subscript"/>
              </w:rPr>
              <w:t>cr</w:t>
            </w:r>
            <w:r>
              <w:t xml:space="preserve"> T = flexural strength of foamed concrete at high temperature, </w:t>
            </w:r>
          </w:p>
          <w:p w:rsidR="00215D20" w:rsidRDefault="00215D20" w:rsidP="0074381E">
            <w:pPr>
              <w:spacing w:line="360" w:lineRule="auto"/>
            </w:pPr>
            <w:r w:rsidRPr="00322CFD">
              <w:rPr>
                <w:i/>
              </w:rPr>
              <w:t>f</w:t>
            </w:r>
            <w:r w:rsidRPr="00322CFD">
              <w:rPr>
                <w:i/>
                <w:vertAlign w:val="subscript"/>
              </w:rPr>
              <w:t>cr</w:t>
            </w:r>
            <w:r>
              <w:t xml:space="preserve"> = at ambition temperature</w:t>
            </w:r>
          </w:p>
        </w:tc>
        <w:tc>
          <w:tcPr>
            <w:tcW w:w="1979" w:type="dxa"/>
            <w:tcBorders>
              <w:bottom w:val="nil"/>
            </w:tcBorders>
          </w:tcPr>
          <w:p w:rsidR="00B44BAE" w:rsidRDefault="0074381E" w:rsidP="0074381E">
            <w:pPr>
              <w:spacing w:line="360" w:lineRule="auto"/>
            </w:pPr>
            <w:r>
              <w:t>Y. Anderberg &amp; S. Thelandersson, 1976</w:t>
            </w:r>
            <w:r w:rsidR="00C32B2A">
              <w:t>.</w:t>
            </w:r>
          </w:p>
        </w:tc>
      </w:tr>
      <w:tr w:rsidR="00B44BAE" w:rsidTr="0074381E">
        <w:trPr>
          <w:trHeight w:val="900"/>
        </w:trPr>
        <w:tc>
          <w:tcPr>
            <w:tcW w:w="3397" w:type="dxa"/>
            <w:tcBorders>
              <w:top w:val="nil"/>
            </w:tcBorders>
          </w:tcPr>
          <w:p w:rsidR="00B44BAE"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(-0.00526T + 1.01052)</w:t>
            </w:r>
          </w:p>
          <w:p w:rsidR="00215D20"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rsidRPr="00AF0CD9">
              <w:rPr>
                <w:i/>
              </w:rPr>
              <w:t xml:space="preserve"> </w:t>
            </w:r>
            <w:r>
              <w:t>(1-0.01T + 0.6)</w:t>
            </w:r>
          </w:p>
        </w:tc>
        <w:tc>
          <w:tcPr>
            <w:tcW w:w="3974" w:type="dxa"/>
            <w:tcBorders>
              <w:top w:val="nil"/>
            </w:tcBorders>
          </w:tcPr>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p>
          <w:p w:rsidR="00B44BAE" w:rsidRDefault="00B44BAE" w:rsidP="0074381E">
            <w:pPr>
              <w:spacing w:line="360" w:lineRule="auto"/>
              <w:jc w:val="both"/>
            </w:pPr>
          </w:p>
        </w:tc>
        <w:tc>
          <w:tcPr>
            <w:tcW w:w="1979" w:type="dxa"/>
            <w:tcBorders>
              <w:top w:val="nil"/>
            </w:tcBorders>
          </w:tcPr>
          <w:p w:rsidR="00B44BAE" w:rsidRDefault="0074381E" w:rsidP="0074381E">
            <w:pPr>
              <w:spacing w:line="360" w:lineRule="auto"/>
            </w:pPr>
            <w:r>
              <w:t>L.W.G. Zhenhai, 1993</w:t>
            </w:r>
            <w:r w:rsidR="00C32B2A">
              <w:t>.</w:t>
            </w:r>
          </w:p>
        </w:tc>
      </w:tr>
    </w:tbl>
    <w:p w:rsidR="00370308" w:rsidRDefault="00370308" w:rsidP="00B44BAE">
      <w:pPr>
        <w:spacing w:line="480" w:lineRule="auto"/>
        <w:jc w:val="both"/>
      </w:pPr>
    </w:p>
    <w:p w:rsidR="002F4521" w:rsidRPr="002F4521" w:rsidRDefault="002F4521" w:rsidP="00B44BAE">
      <w:pPr>
        <w:spacing w:line="480" w:lineRule="auto"/>
        <w:jc w:val="both"/>
        <w:rPr>
          <w:b/>
        </w:rPr>
      </w:pPr>
      <w:r>
        <w:rPr>
          <w:b/>
        </w:rPr>
        <w:t>Table 4</w:t>
      </w:r>
    </w:p>
    <w:p w:rsidR="002F4521" w:rsidRDefault="002F4521" w:rsidP="00B44BAE">
      <w:pPr>
        <w:spacing w:line="480" w:lineRule="auto"/>
        <w:jc w:val="both"/>
      </w:pPr>
      <w:r>
        <w:t>Empirical model for foamed concrete modulus of elasticity determination.</w:t>
      </w:r>
    </w:p>
    <w:tbl>
      <w:tblPr>
        <w:tblStyle w:val="TableGrid"/>
        <w:tblW w:w="0" w:type="auto"/>
        <w:tblLook w:val="04A0" w:firstRow="1" w:lastRow="0" w:firstColumn="1" w:lastColumn="0" w:noHBand="0" w:noVBand="1"/>
      </w:tblPr>
      <w:tblGrid>
        <w:gridCol w:w="3116"/>
        <w:gridCol w:w="3972"/>
        <w:gridCol w:w="2262"/>
      </w:tblGrid>
      <w:tr w:rsidR="00AF0CD9" w:rsidTr="001D12F1">
        <w:trPr>
          <w:trHeight w:val="592"/>
        </w:trPr>
        <w:tc>
          <w:tcPr>
            <w:tcW w:w="3116" w:type="dxa"/>
            <w:tcBorders>
              <w:left w:val="nil"/>
              <w:bottom w:val="single" w:sz="4" w:space="0" w:color="auto"/>
              <w:right w:val="nil"/>
            </w:tcBorders>
          </w:tcPr>
          <w:p w:rsidR="00AF0CD9" w:rsidRDefault="00AF0CD9" w:rsidP="00B44BAE">
            <w:pPr>
              <w:spacing w:line="480" w:lineRule="auto"/>
              <w:jc w:val="both"/>
            </w:pPr>
            <w:r>
              <w:t>Equations</w:t>
            </w:r>
          </w:p>
        </w:tc>
        <w:tc>
          <w:tcPr>
            <w:tcW w:w="3972" w:type="dxa"/>
            <w:tcBorders>
              <w:left w:val="nil"/>
              <w:bottom w:val="single" w:sz="4" w:space="0" w:color="auto"/>
              <w:right w:val="nil"/>
            </w:tcBorders>
          </w:tcPr>
          <w:p w:rsidR="00AF0CD9" w:rsidRDefault="00AF0CD9" w:rsidP="00B44BAE">
            <w:pPr>
              <w:spacing w:line="480" w:lineRule="auto"/>
              <w:jc w:val="both"/>
            </w:pPr>
            <w:r>
              <w:t>Annotations</w:t>
            </w:r>
          </w:p>
        </w:tc>
        <w:tc>
          <w:tcPr>
            <w:tcW w:w="2262" w:type="dxa"/>
            <w:tcBorders>
              <w:left w:val="nil"/>
              <w:bottom w:val="single" w:sz="4" w:space="0" w:color="auto"/>
              <w:right w:val="nil"/>
            </w:tcBorders>
          </w:tcPr>
          <w:p w:rsidR="00AF0CD9" w:rsidRDefault="00AF0CD9" w:rsidP="00B44BAE">
            <w:pPr>
              <w:spacing w:line="480" w:lineRule="auto"/>
              <w:jc w:val="both"/>
            </w:pPr>
            <w:r>
              <w:t>Ref</w:t>
            </w:r>
          </w:p>
        </w:tc>
      </w:tr>
      <w:tr w:rsidR="00AF0CD9" w:rsidTr="001D12F1">
        <w:tc>
          <w:tcPr>
            <w:tcW w:w="3116" w:type="dxa"/>
            <w:tcBorders>
              <w:left w:val="nil"/>
              <w:bottom w:val="nil"/>
              <w:right w:val="nil"/>
            </w:tcBorders>
          </w:tcPr>
          <w:p w:rsidR="00AF0CD9" w:rsidRDefault="00AF0CD9" w:rsidP="002F4521">
            <w:pPr>
              <w:spacing w:line="360" w:lineRule="auto"/>
              <w:jc w:val="both"/>
            </w:pPr>
            <w:r w:rsidRPr="00322CFD">
              <w:rPr>
                <w:i/>
              </w:rPr>
              <w:t>E</w:t>
            </w:r>
            <w:r>
              <w:t xml:space="preserve"> = 33W</w:t>
            </w:r>
            <w:r w:rsidRPr="00AF0CD9">
              <w:rPr>
                <w:vertAlign w:val="superscript"/>
              </w:rPr>
              <w:t>1.5</w:t>
            </w:r>
            <w:r>
              <w:t xml:space="preserve"> (</w:t>
            </w:r>
            <w:r w:rsidRPr="00AF0CD9">
              <w:rPr>
                <w:i/>
              </w:rPr>
              <w:t>f</w:t>
            </w:r>
            <w:r w:rsidRPr="00AF0CD9">
              <w:rPr>
                <w:i/>
                <w:vertAlign w:val="subscript"/>
              </w:rPr>
              <w:t>c</w:t>
            </w:r>
            <w:r>
              <w:t xml:space="preserve">) </w:t>
            </w:r>
            <w:r w:rsidRPr="00AF0CD9">
              <w:rPr>
                <w:vertAlign w:val="superscript"/>
              </w:rPr>
              <w:t>0.5</w:t>
            </w:r>
          </w:p>
        </w:tc>
        <w:tc>
          <w:tcPr>
            <w:tcW w:w="3972" w:type="dxa"/>
            <w:tcBorders>
              <w:left w:val="nil"/>
              <w:bottom w:val="nil"/>
              <w:right w:val="nil"/>
            </w:tcBorders>
          </w:tcPr>
          <w:p w:rsidR="00AF0CD9" w:rsidRDefault="002F4521" w:rsidP="002F4521">
            <w:pPr>
              <w:spacing w:line="360" w:lineRule="auto"/>
              <w:jc w:val="both"/>
            </w:pPr>
            <w:r>
              <w:t>It used Pauw’s equation</w:t>
            </w:r>
          </w:p>
        </w:tc>
        <w:tc>
          <w:tcPr>
            <w:tcW w:w="2262" w:type="dxa"/>
            <w:tcBorders>
              <w:left w:val="nil"/>
              <w:bottom w:val="nil"/>
              <w:right w:val="nil"/>
            </w:tcBorders>
          </w:tcPr>
          <w:p w:rsidR="00AF0CD9" w:rsidRDefault="002F4521" w:rsidP="002F4521">
            <w:pPr>
              <w:spacing w:line="360" w:lineRule="auto"/>
              <w:jc w:val="both"/>
            </w:pPr>
            <w:r>
              <w:t>K. Ramamurthy, et al., 2009</w:t>
            </w:r>
            <w:r w:rsidR="00C32B2A">
              <w:t>.</w:t>
            </w:r>
          </w:p>
        </w:tc>
      </w:tr>
      <w:tr w:rsidR="00AF0CD9" w:rsidTr="001D12F1">
        <w:tc>
          <w:tcPr>
            <w:tcW w:w="3116" w:type="dxa"/>
            <w:tcBorders>
              <w:top w:val="nil"/>
              <w:left w:val="nil"/>
              <w:bottom w:val="nil"/>
              <w:right w:val="nil"/>
            </w:tcBorders>
          </w:tcPr>
          <w:p w:rsidR="00AF0CD9" w:rsidRDefault="00AF0CD9" w:rsidP="001D12F1">
            <w:pPr>
              <w:spacing w:line="480" w:lineRule="auto"/>
              <w:rPr>
                <w:vertAlign w:val="superscript"/>
              </w:rPr>
            </w:pPr>
            <w:r w:rsidRPr="00322CFD">
              <w:rPr>
                <w:i/>
              </w:rPr>
              <w:t>E</w:t>
            </w:r>
            <w:r>
              <w:t xml:space="preserve"> = 0.99</w:t>
            </w:r>
            <w:r w:rsidRPr="003C041D">
              <w:t xml:space="preserve"> (</w:t>
            </w:r>
            <w:r w:rsidRPr="00AF0CD9">
              <w:rPr>
                <w:i/>
              </w:rPr>
              <w:t>f</w:t>
            </w:r>
            <w:r w:rsidRPr="00AF0CD9">
              <w:rPr>
                <w:i/>
                <w:vertAlign w:val="subscript"/>
              </w:rPr>
              <w:t>c</w:t>
            </w:r>
            <w:r w:rsidRPr="003C041D">
              <w:t xml:space="preserve">) </w:t>
            </w:r>
            <w:r>
              <w:rPr>
                <w:vertAlign w:val="superscript"/>
              </w:rPr>
              <w:t>0.67</w:t>
            </w:r>
          </w:p>
          <w:p w:rsidR="00322CFD" w:rsidRDefault="00322CFD" w:rsidP="001D12F1">
            <w:pPr>
              <w:spacing w:line="480" w:lineRule="auto"/>
            </w:pPr>
            <w:r w:rsidRPr="00322CFD">
              <w:rPr>
                <w:i/>
              </w:rPr>
              <w:t>E</w:t>
            </w:r>
            <w:r>
              <w:t xml:space="preserve"> = 0.42</w:t>
            </w:r>
            <w:r w:rsidRPr="003C041D">
              <w:t xml:space="preserve"> (</w:t>
            </w:r>
            <w:r w:rsidRPr="00AF0CD9">
              <w:rPr>
                <w:i/>
              </w:rPr>
              <w:t>f</w:t>
            </w:r>
            <w:r w:rsidRPr="00AF0CD9">
              <w:rPr>
                <w:i/>
                <w:vertAlign w:val="subscript"/>
              </w:rPr>
              <w:t>c</w:t>
            </w:r>
            <w:r w:rsidRPr="003C041D">
              <w:t xml:space="preserve">) </w:t>
            </w:r>
            <w:r>
              <w:rPr>
                <w:vertAlign w:val="superscript"/>
              </w:rPr>
              <w:t>1.18</w:t>
            </w:r>
          </w:p>
        </w:tc>
        <w:tc>
          <w:tcPr>
            <w:tcW w:w="3972" w:type="dxa"/>
            <w:tcBorders>
              <w:top w:val="nil"/>
              <w:left w:val="nil"/>
              <w:bottom w:val="nil"/>
              <w:right w:val="nil"/>
            </w:tcBorders>
          </w:tcPr>
          <w:p w:rsidR="00AF0CD9" w:rsidRDefault="002F4521" w:rsidP="002F4521">
            <w:pPr>
              <w:spacing w:line="276" w:lineRule="auto"/>
              <w:jc w:val="both"/>
            </w:pPr>
            <w:r>
              <w:t>Used when fly ash utilized as fine aggregate</w:t>
            </w:r>
          </w:p>
          <w:p w:rsidR="002F4521" w:rsidRDefault="002F4521" w:rsidP="002F4521">
            <w:pPr>
              <w:spacing w:line="276" w:lineRule="auto"/>
              <w:jc w:val="both"/>
            </w:pPr>
            <w:r>
              <w:t>Used when sand is utilized as fine aggregate</w:t>
            </w:r>
          </w:p>
        </w:tc>
        <w:tc>
          <w:tcPr>
            <w:tcW w:w="2262" w:type="dxa"/>
            <w:tcBorders>
              <w:top w:val="nil"/>
              <w:left w:val="nil"/>
              <w:bottom w:val="nil"/>
              <w:right w:val="nil"/>
            </w:tcBorders>
          </w:tcPr>
          <w:p w:rsidR="00AF0CD9" w:rsidRDefault="00C32B2A" w:rsidP="002F4521">
            <w:pPr>
              <w:spacing w:line="276" w:lineRule="auto"/>
              <w:jc w:val="both"/>
            </w:pPr>
            <w:r>
              <w:t>F.C. McCormick, et al., 1967.</w:t>
            </w:r>
          </w:p>
        </w:tc>
      </w:tr>
      <w:tr w:rsidR="00AF0CD9" w:rsidTr="001D12F1">
        <w:tc>
          <w:tcPr>
            <w:tcW w:w="3116" w:type="dxa"/>
            <w:tcBorders>
              <w:top w:val="nil"/>
              <w:left w:val="nil"/>
              <w:bottom w:val="nil"/>
              <w:right w:val="nil"/>
            </w:tcBorders>
          </w:tcPr>
          <w:p w:rsidR="00AF0CD9" w:rsidRDefault="00322CFD" w:rsidP="002F4521">
            <w:pPr>
              <w:spacing w:line="276" w:lineRule="auto"/>
            </w:pPr>
            <w:r w:rsidRPr="00322CFD">
              <w:rPr>
                <w:i/>
              </w:rPr>
              <w:t>E</w:t>
            </w:r>
            <w:r>
              <w:t xml:space="preserve"> = 5.32 x </w:t>
            </w:r>
            <w:r w:rsidRPr="00AF0CD9">
              <w:rPr>
                <w:i/>
              </w:rPr>
              <w:t>W</w:t>
            </w:r>
            <w:r>
              <w:rPr>
                <w:vertAlign w:val="superscript"/>
              </w:rPr>
              <w:t xml:space="preserve"> </w:t>
            </w:r>
            <w:r>
              <w:t>- 853</w:t>
            </w:r>
          </w:p>
        </w:tc>
        <w:tc>
          <w:tcPr>
            <w:tcW w:w="3972" w:type="dxa"/>
            <w:tcBorders>
              <w:top w:val="nil"/>
              <w:left w:val="nil"/>
              <w:bottom w:val="nil"/>
              <w:right w:val="nil"/>
            </w:tcBorders>
          </w:tcPr>
          <w:p w:rsidR="00AF0CD9" w:rsidRDefault="002F4521" w:rsidP="002F4521">
            <w:pPr>
              <w:spacing w:line="276" w:lineRule="auto"/>
              <w:jc w:val="both"/>
            </w:pPr>
            <w:r>
              <w:t>Density is ranged between 200 and 800 kg/m</w:t>
            </w:r>
            <w:r w:rsidRPr="002F4521">
              <w:rPr>
                <w:vertAlign w:val="superscript"/>
              </w:rPr>
              <w:t>3</w:t>
            </w:r>
          </w:p>
        </w:tc>
        <w:tc>
          <w:tcPr>
            <w:tcW w:w="2262" w:type="dxa"/>
            <w:tcBorders>
              <w:top w:val="nil"/>
              <w:left w:val="nil"/>
              <w:bottom w:val="nil"/>
              <w:right w:val="nil"/>
            </w:tcBorders>
          </w:tcPr>
          <w:p w:rsidR="00AF0CD9" w:rsidRDefault="00C32B2A" w:rsidP="002F4521">
            <w:pPr>
              <w:spacing w:line="276" w:lineRule="auto"/>
              <w:jc w:val="both"/>
            </w:pPr>
            <w:r>
              <w:t>A. Saint-Jalmes, 2005.</w:t>
            </w:r>
          </w:p>
        </w:tc>
      </w:tr>
      <w:tr w:rsidR="00AF0CD9" w:rsidTr="001D12F1">
        <w:tc>
          <w:tcPr>
            <w:tcW w:w="3116" w:type="dxa"/>
            <w:tcBorders>
              <w:top w:val="nil"/>
              <w:left w:val="nil"/>
              <w:bottom w:val="nil"/>
              <w:right w:val="nil"/>
            </w:tcBorders>
          </w:tcPr>
          <w:p w:rsidR="00AF0CD9" w:rsidRDefault="00322CFD" w:rsidP="002F4521">
            <w:pPr>
              <w:spacing w:line="276" w:lineRule="auto"/>
            </w:pPr>
            <w:r w:rsidRPr="00322CFD">
              <w:rPr>
                <w:i/>
              </w:rPr>
              <w:t>E</w:t>
            </w:r>
            <w:r>
              <w:t xml:space="preserve"> = 6</w:t>
            </w:r>
            <w:r w:rsidRPr="003C041D">
              <w:t>3</w:t>
            </w:r>
            <w:r>
              <w:t>2(</w:t>
            </w:r>
            <w:r>
              <w:rPr>
                <w:rFonts w:cs="Times New Roman"/>
              </w:rPr>
              <w:t>µ</w:t>
            </w:r>
            <w:r w:rsidRPr="00322CFD">
              <w:rPr>
                <w:vertAlign w:val="subscript"/>
              </w:rPr>
              <w:t>con</w:t>
            </w:r>
            <w:r>
              <w:t>)</w:t>
            </w:r>
            <w:r w:rsidRPr="003C041D">
              <w:rPr>
                <w:vertAlign w:val="superscript"/>
              </w:rPr>
              <w:t>1.5</w:t>
            </w:r>
            <w:r w:rsidRPr="003C041D">
              <w:t xml:space="preserve"> (</w:t>
            </w:r>
            <w:r w:rsidRPr="00AF0CD9">
              <w:rPr>
                <w:i/>
              </w:rPr>
              <w:t>f</w:t>
            </w:r>
            <w:r w:rsidRPr="00AF0CD9">
              <w:rPr>
                <w:i/>
                <w:vertAlign w:val="subscript"/>
              </w:rPr>
              <w:t>c</w:t>
            </w:r>
            <w:r w:rsidRPr="003C041D">
              <w:t xml:space="preserve">) </w:t>
            </w:r>
            <w:r w:rsidRPr="003C041D">
              <w:rPr>
                <w:vertAlign w:val="superscript"/>
              </w:rPr>
              <w:t>0.5</w:t>
            </w:r>
          </w:p>
        </w:tc>
        <w:tc>
          <w:tcPr>
            <w:tcW w:w="3972" w:type="dxa"/>
            <w:tcBorders>
              <w:top w:val="nil"/>
              <w:left w:val="nil"/>
              <w:bottom w:val="nil"/>
              <w:right w:val="nil"/>
            </w:tcBorders>
          </w:tcPr>
          <w:p w:rsidR="002F4521" w:rsidRDefault="002F4521" w:rsidP="002F4521">
            <w:pPr>
              <w:spacing w:line="276" w:lineRule="auto"/>
              <w:jc w:val="both"/>
            </w:pPr>
            <w:r>
              <w:rPr>
                <w:rFonts w:cs="Times New Roman"/>
                <w:i/>
              </w:rPr>
              <w:t>µ</w:t>
            </w:r>
            <w:r w:rsidRPr="002F4521">
              <w:rPr>
                <w:i/>
                <w:vertAlign w:val="subscript"/>
              </w:rPr>
              <w:t>con</w:t>
            </w:r>
            <w:r>
              <w:t xml:space="preserve"> = unit weight of concrete</w:t>
            </w:r>
          </w:p>
          <w:p w:rsidR="002F4521" w:rsidRDefault="002F4521" w:rsidP="002F4521">
            <w:pPr>
              <w:spacing w:line="276" w:lineRule="auto"/>
              <w:jc w:val="both"/>
            </w:pPr>
            <w:r>
              <w:rPr>
                <w:i/>
              </w:rPr>
              <w:t>f</w:t>
            </w:r>
            <w:r w:rsidRPr="002F4521">
              <w:rPr>
                <w:i/>
                <w:vertAlign w:val="subscript"/>
              </w:rPr>
              <w:t>ck</w:t>
            </w:r>
            <w:r w:rsidRPr="002F4521">
              <w:rPr>
                <w:i/>
              </w:rPr>
              <w:t xml:space="preserve"> </w:t>
            </w:r>
            <w:r>
              <w:t>= compressive strength of concrete</w:t>
            </w:r>
          </w:p>
          <w:p w:rsidR="00AF0CD9" w:rsidRDefault="00FE68EF" w:rsidP="002F4521">
            <w:pPr>
              <w:spacing w:line="276" w:lineRule="auto"/>
              <w:jc w:val="both"/>
            </w:pPr>
            <w:r>
              <w:lastRenderedPageBreak/>
              <w:t>W</w:t>
            </w:r>
            <w:r w:rsidR="002F4521">
              <w:t>here average Poisson’s ratio = 0.2, and using polymer foam agent</w:t>
            </w:r>
          </w:p>
        </w:tc>
        <w:tc>
          <w:tcPr>
            <w:tcW w:w="2262" w:type="dxa"/>
            <w:tcBorders>
              <w:top w:val="nil"/>
              <w:left w:val="nil"/>
              <w:bottom w:val="nil"/>
              <w:right w:val="nil"/>
            </w:tcBorders>
          </w:tcPr>
          <w:p w:rsidR="00AF0CD9" w:rsidRDefault="00C32B2A" w:rsidP="002F4521">
            <w:pPr>
              <w:spacing w:line="276" w:lineRule="auto"/>
              <w:jc w:val="both"/>
            </w:pPr>
            <w:r>
              <w:lastRenderedPageBreak/>
              <w:t>K.J. Byun, et al., 1998.</w:t>
            </w:r>
          </w:p>
        </w:tc>
      </w:tr>
      <w:tr w:rsidR="00322CFD" w:rsidTr="001D12F1">
        <w:tc>
          <w:tcPr>
            <w:tcW w:w="3116" w:type="dxa"/>
            <w:tcBorders>
              <w:top w:val="nil"/>
              <w:left w:val="nil"/>
              <w:bottom w:val="nil"/>
              <w:right w:val="nil"/>
            </w:tcBorders>
          </w:tcPr>
          <w:p w:rsidR="00322CFD" w:rsidRDefault="00322CFD" w:rsidP="001D12F1">
            <w:pPr>
              <w:spacing w:line="360" w:lineRule="auto"/>
            </w:pPr>
            <w:r w:rsidRPr="00322CFD">
              <w:rPr>
                <w:i/>
              </w:rPr>
              <w:lastRenderedPageBreak/>
              <w:t>E</w:t>
            </w:r>
            <w:r>
              <w:t xml:space="preserve"> = 57,000</w:t>
            </w:r>
            <w:r w:rsidRPr="003C041D">
              <w:t>(</w:t>
            </w:r>
            <w:r w:rsidRPr="00AF0CD9">
              <w:rPr>
                <w:i/>
              </w:rPr>
              <w:t>f</w:t>
            </w:r>
            <w:r w:rsidRPr="00AF0CD9">
              <w:rPr>
                <w:i/>
                <w:vertAlign w:val="subscript"/>
              </w:rPr>
              <w:t>c</w:t>
            </w:r>
            <w:r w:rsidRPr="003C041D">
              <w:t xml:space="preserve">) </w:t>
            </w:r>
            <w:r w:rsidRPr="003C041D">
              <w:rPr>
                <w:vertAlign w:val="superscript"/>
              </w:rPr>
              <w:t>0.5</w:t>
            </w:r>
          </w:p>
        </w:tc>
        <w:tc>
          <w:tcPr>
            <w:tcW w:w="3972" w:type="dxa"/>
            <w:tcBorders>
              <w:top w:val="nil"/>
              <w:left w:val="nil"/>
              <w:bottom w:val="nil"/>
              <w:right w:val="nil"/>
            </w:tcBorders>
          </w:tcPr>
          <w:p w:rsidR="00322CFD" w:rsidRDefault="002F4521" w:rsidP="001D12F1">
            <w:pPr>
              <w:spacing w:line="360" w:lineRule="auto"/>
              <w:jc w:val="both"/>
            </w:pPr>
            <w:r>
              <w:t>Density of normal concrete limited between 2200 and 2400 kg/m</w:t>
            </w:r>
            <w:r w:rsidRPr="002F4521">
              <w:rPr>
                <w:vertAlign w:val="superscript"/>
              </w:rPr>
              <w:t>3</w:t>
            </w:r>
            <w:r>
              <w:t xml:space="preserve"> substituting with 80 kg/m</w:t>
            </w:r>
            <w:r w:rsidRPr="002F4521">
              <w:rPr>
                <w:vertAlign w:val="superscript"/>
              </w:rPr>
              <w:t>3</w:t>
            </w:r>
            <w:r>
              <w:t xml:space="preserve"> for steel</w:t>
            </w:r>
          </w:p>
        </w:tc>
        <w:tc>
          <w:tcPr>
            <w:tcW w:w="2262" w:type="dxa"/>
            <w:tcBorders>
              <w:top w:val="nil"/>
              <w:left w:val="nil"/>
              <w:bottom w:val="nil"/>
              <w:right w:val="nil"/>
            </w:tcBorders>
          </w:tcPr>
          <w:p w:rsidR="00322CFD" w:rsidRDefault="00C32B2A" w:rsidP="002F4521">
            <w:pPr>
              <w:spacing w:line="276" w:lineRule="auto"/>
              <w:jc w:val="both"/>
            </w:pPr>
            <w:r>
              <w:t>M.E. Kamara, et al., 2008.</w:t>
            </w:r>
          </w:p>
        </w:tc>
      </w:tr>
      <w:tr w:rsidR="00322CFD" w:rsidTr="001D12F1">
        <w:tc>
          <w:tcPr>
            <w:tcW w:w="3116" w:type="dxa"/>
            <w:tcBorders>
              <w:top w:val="nil"/>
              <w:left w:val="nil"/>
              <w:right w:val="nil"/>
            </w:tcBorders>
          </w:tcPr>
          <w:p w:rsidR="00322CFD" w:rsidRDefault="00322CFD" w:rsidP="001D12F1">
            <w:pPr>
              <w:spacing w:line="360" w:lineRule="auto"/>
              <w:rPr>
                <w:vertAlign w:val="superscript"/>
              </w:rPr>
            </w:pPr>
            <w:r w:rsidRPr="00322CFD">
              <w:rPr>
                <w:i/>
              </w:rPr>
              <w:t>E</w:t>
            </w:r>
            <w:r w:rsidRPr="00322CFD">
              <w:rPr>
                <w:i/>
                <w:vertAlign w:val="subscript"/>
              </w:rPr>
              <w:t>c</w:t>
            </w:r>
            <w:r>
              <w:t xml:space="preserve"> = 9.10</w:t>
            </w:r>
            <w:r w:rsidRPr="003C041D">
              <w:t xml:space="preserve"> (</w:t>
            </w:r>
            <w:r w:rsidRPr="00AF0CD9">
              <w:rPr>
                <w:i/>
              </w:rPr>
              <w:t>f</w:t>
            </w:r>
            <w:r w:rsidRPr="00AF0CD9">
              <w:rPr>
                <w:i/>
                <w:vertAlign w:val="subscript"/>
              </w:rPr>
              <w:t>c</w:t>
            </w:r>
            <w:r w:rsidRPr="003C041D">
              <w:t xml:space="preserve">) </w:t>
            </w:r>
            <w:r>
              <w:rPr>
                <w:vertAlign w:val="superscript"/>
              </w:rPr>
              <w:t>0.33</w:t>
            </w:r>
          </w:p>
          <w:p w:rsidR="00322CFD" w:rsidRDefault="00322CFD" w:rsidP="001D12F1">
            <w:pPr>
              <w:spacing w:line="360" w:lineRule="auto"/>
            </w:pPr>
            <w:r w:rsidRPr="00322CFD">
              <w:rPr>
                <w:i/>
              </w:rPr>
              <w:t>E</w:t>
            </w:r>
            <w:r w:rsidRPr="00322CFD">
              <w:rPr>
                <w:i/>
                <w:vertAlign w:val="subscript"/>
              </w:rPr>
              <w:t>c</w:t>
            </w:r>
            <w:r>
              <w:t xml:space="preserve"> = 1.70 x 10</w:t>
            </w:r>
            <w:r>
              <w:rPr>
                <w:vertAlign w:val="superscript"/>
              </w:rPr>
              <w:t>—6</w:t>
            </w:r>
            <w:r w:rsidR="002F4521">
              <w:rPr>
                <w:vertAlign w:val="superscript"/>
              </w:rPr>
              <w:t xml:space="preserve"> </w:t>
            </w:r>
            <w:r w:rsidR="002F4521" w:rsidRPr="002F4521">
              <w:rPr>
                <w:i/>
              </w:rPr>
              <w:t>p</w:t>
            </w:r>
            <w:r w:rsidR="002F4521">
              <w:rPr>
                <w:vertAlign w:val="superscript"/>
              </w:rPr>
              <w:t>2</w:t>
            </w:r>
            <w:r w:rsidRPr="003C041D">
              <w:t xml:space="preserve"> (</w:t>
            </w:r>
            <w:r w:rsidRPr="00AF0CD9">
              <w:rPr>
                <w:i/>
              </w:rPr>
              <w:t>f</w:t>
            </w:r>
            <w:r w:rsidRPr="00AF0CD9">
              <w:rPr>
                <w:i/>
                <w:vertAlign w:val="subscript"/>
              </w:rPr>
              <w:t>c</w:t>
            </w:r>
            <w:r w:rsidRPr="003C041D">
              <w:t xml:space="preserve">) </w:t>
            </w:r>
            <w:r>
              <w:rPr>
                <w:vertAlign w:val="superscript"/>
              </w:rPr>
              <w:t>0.33</w:t>
            </w:r>
          </w:p>
        </w:tc>
        <w:tc>
          <w:tcPr>
            <w:tcW w:w="3972" w:type="dxa"/>
            <w:tcBorders>
              <w:top w:val="nil"/>
              <w:left w:val="nil"/>
              <w:right w:val="nil"/>
            </w:tcBorders>
          </w:tcPr>
          <w:p w:rsidR="00322CFD" w:rsidRDefault="002F4521" w:rsidP="001D12F1">
            <w:pPr>
              <w:spacing w:line="360" w:lineRule="auto"/>
              <w:jc w:val="both"/>
            </w:pPr>
            <w:r w:rsidRPr="002F4521">
              <w:rPr>
                <w:i/>
              </w:rPr>
              <w:t>fc</w:t>
            </w:r>
            <w:r>
              <w:t xml:space="preserve"> = compressive strength of concrete</w:t>
            </w:r>
          </w:p>
          <w:p w:rsidR="002F4521" w:rsidRDefault="002F4521" w:rsidP="001D12F1">
            <w:pPr>
              <w:spacing w:line="360" w:lineRule="auto"/>
              <w:jc w:val="both"/>
            </w:pPr>
            <w:r w:rsidRPr="002F4521">
              <w:rPr>
                <w:i/>
              </w:rPr>
              <w:t>P</w:t>
            </w:r>
            <w:r>
              <w:t xml:space="preserve"> = plastic density (kg/m</w:t>
            </w:r>
            <w:r w:rsidRPr="002F4521">
              <w:rPr>
                <w:vertAlign w:val="superscript"/>
              </w:rPr>
              <w:t>3</w:t>
            </w:r>
            <w:r>
              <w:t xml:space="preserve"> )</w:t>
            </w:r>
          </w:p>
        </w:tc>
        <w:tc>
          <w:tcPr>
            <w:tcW w:w="2262" w:type="dxa"/>
            <w:tcBorders>
              <w:top w:val="nil"/>
              <w:left w:val="nil"/>
              <w:right w:val="nil"/>
            </w:tcBorders>
          </w:tcPr>
          <w:p w:rsidR="00322CFD" w:rsidRDefault="00C32B2A" w:rsidP="002F4521">
            <w:pPr>
              <w:spacing w:line="276" w:lineRule="auto"/>
              <w:jc w:val="both"/>
            </w:pPr>
            <w:r>
              <w:t>R.E. Rowe, et al., 1987.</w:t>
            </w:r>
          </w:p>
        </w:tc>
      </w:tr>
    </w:tbl>
    <w:p w:rsidR="00AF0CD9" w:rsidRDefault="00AF0CD9" w:rsidP="00B44BAE">
      <w:pPr>
        <w:spacing w:line="480" w:lineRule="auto"/>
        <w:jc w:val="both"/>
      </w:pPr>
    </w:p>
    <w:p w:rsidR="00ED748C" w:rsidRDefault="005E4876" w:rsidP="00182C66">
      <w:pPr>
        <w:pStyle w:val="ListParagraph"/>
        <w:numPr>
          <w:ilvl w:val="0"/>
          <w:numId w:val="8"/>
        </w:numPr>
        <w:spacing w:line="480" w:lineRule="auto"/>
        <w:jc w:val="both"/>
      </w:pPr>
      <w:r>
        <w:t>Compressive strength</w:t>
      </w:r>
    </w:p>
    <w:p w:rsidR="005E4876" w:rsidRDefault="000A0C2E" w:rsidP="00182C66">
      <w:pPr>
        <w:pStyle w:val="ListParagraph"/>
        <w:spacing w:line="480" w:lineRule="auto"/>
        <w:ind w:firstLine="720"/>
        <w:jc w:val="both"/>
      </w:pPr>
      <w:r>
        <w:t>H</w:t>
      </w:r>
      <w:r w:rsidR="00ED748C">
        <w:t>FC is produced through the integration of foam into the concrete mixture, forming a distinct type of concrete, resulting in a highly porous and lightweight material</w:t>
      </w:r>
      <w:r>
        <w:t>. The compressive strength of H</w:t>
      </w:r>
      <w:r w:rsidR="00ED748C">
        <w:t xml:space="preserve">FC depends on several factors, such as the type and quantity of foam, aggregate type and size, water-to-cement ratio, curing conditions, and the addition of other materials, such as </w:t>
      </w:r>
      <w:r>
        <w:t>fibers and admixtures. The amount of water has a significant effect on the compressive strength of foamed concrete. It was reported that small changes in the water content of foam concrete do not affect the strength as in normal concrete (Ramamurthy</w:t>
      </w:r>
      <w:r w:rsidR="00182C66">
        <w:t>,</w:t>
      </w:r>
      <w:r>
        <w:t xml:space="preserve">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w:t>
      </w:r>
      <w:r w:rsidR="005E4876">
        <w:t>increases (Jaing</w:t>
      </w:r>
      <w:r w:rsidR="00182C66">
        <w:t>,</w:t>
      </w:r>
      <w:r w:rsidR="005E4876">
        <w:t xml:space="preserve"> et al., 2016).</w:t>
      </w:r>
    </w:p>
    <w:p w:rsidR="000A0C2E" w:rsidRDefault="000A0C2E" w:rsidP="00182C66">
      <w:pPr>
        <w:pStyle w:val="ListParagraph"/>
        <w:spacing w:line="480" w:lineRule="auto"/>
        <w:ind w:firstLine="720"/>
        <w:jc w:val="both"/>
      </w:pPr>
      <w:r>
        <w:t xml:space="preserve">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w:t>
      </w:r>
      <w:r>
        <w:lastRenderedPageBreak/>
        <w:t>irregularity in the pore structure is subjected to stress concentrations. In addition, the increase in the amount of water triggers the formation of capillary channels, thereby reducing its strength (Liu</w:t>
      </w:r>
      <w:r w:rsidR="00182C66">
        <w:t>,</w:t>
      </w:r>
      <w:r>
        <w:t xml:space="preserve"> et al.,</w:t>
      </w:r>
      <w:r w:rsidR="00182C66">
        <w:t xml:space="preserve"> </w:t>
      </w:r>
      <w:r>
        <w:t>2016). The use of superplasticizer contributes to the increase in compressive strength by reducing the w/c ratio (Chandni</w:t>
      </w:r>
      <w:r w:rsidR="00182C66">
        <w:t>,</w:t>
      </w:r>
      <w:r>
        <w:t xml:space="preserve"> et al., 2018).</w:t>
      </w:r>
    </w:p>
    <w:p w:rsidR="000A0C2E" w:rsidRDefault="005E4876" w:rsidP="00AE641D">
      <w:pPr>
        <w:pStyle w:val="ListParagraph"/>
        <w:numPr>
          <w:ilvl w:val="0"/>
          <w:numId w:val="8"/>
        </w:numPr>
        <w:spacing w:line="480" w:lineRule="auto"/>
        <w:jc w:val="both"/>
      </w:pPr>
      <w:r>
        <w:t xml:space="preserve">Flexural </w:t>
      </w:r>
      <w:r w:rsidR="00182C66">
        <w:t xml:space="preserve">and tensile </w:t>
      </w:r>
      <w:r>
        <w:t>strength</w:t>
      </w:r>
    </w:p>
    <w:p w:rsidR="00AE641D" w:rsidRDefault="00AE641D" w:rsidP="00AE641D">
      <w:pPr>
        <w:pStyle w:val="ListParagraph"/>
        <w:spacing w:line="480" w:lineRule="auto"/>
        <w:ind w:firstLine="720"/>
        <w:jc w:val="both"/>
      </w:pPr>
      <w:r>
        <w:t>ACI Committee 523 recommends the expression for splitting tensile strength to be taken from the method described by ASTM C496. In foamed concrete, the tensile strength is lower than that of normal concrete. In general, it is reported that the ratio of tensile strength to compressive strength of foamed concrete ranges between 0.2 and 0.4 which is higher compared to normal concrete that possesses a ratio of splitting tensile to compressive strengths between 0.08 and 0.11 (K.J. Byun, et al., 1998).</w:t>
      </w:r>
    </w:p>
    <w:p w:rsidR="005E4876" w:rsidRDefault="005E4876" w:rsidP="00AE641D">
      <w:pPr>
        <w:pStyle w:val="ListParagraph"/>
        <w:spacing w:line="480" w:lineRule="auto"/>
        <w:ind w:firstLine="720"/>
        <w:jc w:val="both"/>
      </w:pPr>
      <w:r>
        <w:t>Flexural strength is a crucial mechanical property that measures a material’s capacity to resist bending and is a significant factor in deciding the applicability of HFC in structural projects (M.H. Sobuz</w:t>
      </w:r>
      <w:r w:rsidR="00182C66">
        <w:t>,</w:t>
      </w:r>
      <w:r>
        <w:t xml:space="preserve"> 2023). However, it has been identified as one of the limitations of HFC, which restricts its usage in specific structural applications. Therefore, understanding the factors that affect the flexural strength of HFC is important for optimizing its properties and expanding its use in various applications.</w:t>
      </w:r>
    </w:p>
    <w:p w:rsidR="00AF0CD9" w:rsidRDefault="00182C66" w:rsidP="00AF0CD9">
      <w:pPr>
        <w:pStyle w:val="ListParagraph"/>
        <w:spacing w:line="480" w:lineRule="auto"/>
        <w:ind w:firstLine="720"/>
        <w:jc w:val="both"/>
      </w:pPr>
      <w:r>
        <w:t xml:space="preserve">The </w:t>
      </w:r>
      <w:r w:rsidR="005E4876">
        <w:t>impact of various protein foaming agents</w:t>
      </w:r>
      <w:r>
        <w:t xml:space="preserve"> was examining by Falliano, et al.,</w:t>
      </w:r>
      <w:r w:rsidR="005E4876">
        <w:t xml:space="preserve"> P1 and P2. The abbreviations P1 and P2 refer to two types of protein-based foaming agents, while the letter F denotes the inclusion of polypropylene microfibers. The flexural strength of ultra-lightweight fiber-reinforced concrete mixes that included polypropylene micro fibers indicated that adding microfibers significantly enhanced the flexural</w:t>
      </w:r>
      <w:r>
        <w:t xml:space="preserve"> strength of the samples. The H</w:t>
      </w:r>
      <w:r w:rsidR="005E4876">
        <w:t xml:space="preserve">FC P1 F mix exhibited the best flexural performance, with a mean flexural </w:t>
      </w:r>
      <w:r w:rsidR="005E4876">
        <w:lastRenderedPageBreak/>
        <w:t xml:space="preserve">strength of 0.030 MPa, which was a significant improvement over the other blend. The inclusion of artificial polypropylene fibers created a network of connectivity in three dimensions, which improved the system’s overall performance while maintaining its stability and workability. Additionally, based on the capillary and water absorption test results, the flexural strength </w:t>
      </w:r>
      <w:r>
        <w:t>of HFC</w:t>
      </w:r>
      <w:r w:rsidR="005E4876">
        <w:t xml:space="preserve"> P1 F and HFC P2 F samples was determined to be 61 % and 74 %, respectively, of</w:t>
      </w:r>
      <w:r w:rsidR="00AE641D">
        <w:t xml:space="preserve"> their peak flexural capacities </w:t>
      </w:r>
      <w:r>
        <w:t>(Falliano, et al. 2022).</w:t>
      </w:r>
      <w:r w:rsidR="00AF0CD9" w:rsidRPr="00AF0CD9">
        <w:t xml:space="preserve"> </w:t>
      </w:r>
      <w:r w:rsidR="00AF0CD9">
        <w:rPr>
          <w:b/>
        </w:rPr>
        <w:t xml:space="preserve">Table 3 </w:t>
      </w:r>
      <w:r w:rsidR="00AF0CD9">
        <w:t xml:space="preserve">illustrates the prediction of the flexural strength of foamed concrete reinforced with polypropylene fibers and fly ash under elevated temperatures. It was stated that the fibers increased the heat resistance of foamed concrete against crack propagation at temperatures up to 600 </w:t>
      </w:r>
      <w:r w:rsidR="00AF0CD9" w:rsidRPr="00AF0CD9">
        <w:rPr>
          <w:vertAlign w:val="superscript"/>
        </w:rPr>
        <w:t>o</w:t>
      </w:r>
      <w:r w:rsidR="00AF0CD9">
        <w:t>C at which 60% loss was observed in compressive strength of samples.</w:t>
      </w:r>
    </w:p>
    <w:p w:rsidR="00AE641D" w:rsidRDefault="00AE641D" w:rsidP="00AE641D">
      <w:pPr>
        <w:pStyle w:val="ListParagraph"/>
        <w:numPr>
          <w:ilvl w:val="0"/>
          <w:numId w:val="8"/>
        </w:numPr>
        <w:spacing w:line="480" w:lineRule="auto"/>
        <w:jc w:val="both"/>
      </w:pPr>
      <w:r>
        <w:t>Modulus of elasticity</w:t>
      </w:r>
    </w:p>
    <w:p w:rsidR="00AE641D" w:rsidRDefault="00AE641D" w:rsidP="00AE641D">
      <w:pPr>
        <w:pStyle w:val="ListParagraph"/>
        <w:spacing w:line="480" w:lineRule="auto"/>
        <w:ind w:firstLine="720"/>
        <w:jc w:val="both"/>
      </w:pPr>
      <w:r>
        <w:t>Modulus of elasticity is associated with density of the foamed concrete. Based on the review of existing studies conducted, when</w:t>
      </w:r>
      <w:r w:rsidRPr="00AE641D">
        <w:t xml:space="preserve"> </w:t>
      </w:r>
      <w:r>
        <w:t>dry densities of foamed concrete range between 500 and 1600 kg/ m</w:t>
      </w:r>
      <w:r w:rsidRPr="00AE641D">
        <w:rPr>
          <w:vertAlign w:val="superscript"/>
        </w:rPr>
        <w:t>3</w:t>
      </w:r>
      <w:r>
        <w:t>, the modulus of elasticity falls between 1.0 and 12 kN/m</w:t>
      </w:r>
      <w:r w:rsidRPr="004F00EC">
        <w:rPr>
          <w:vertAlign w:val="superscript"/>
        </w:rPr>
        <w:t>2</w:t>
      </w:r>
      <w:r w:rsidR="004F00EC">
        <w:t>, respectively (K.C. Brady, et al., 2001)</w:t>
      </w:r>
      <w:r>
        <w:t>. It is reported that the E-value of foamed concrete is four times lo</w:t>
      </w:r>
      <w:r w:rsidR="004F00EC">
        <w:t>wer than the normal concrete (M.R. Jones, et al., 2005)</w:t>
      </w:r>
      <w:r>
        <w:t>, nonetheless, there are possibilities to compensate this reduction by addition of polypropylene fibers to the mix with the most marked increases reported at 0.50% rate (by mix volume) and 1400 kg/m3 density, as re</w:t>
      </w:r>
      <w:r w:rsidR="004F00EC">
        <w:t>ported by M.R. Jones, et al</w:t>
      </w:r>
      <w:r>
        <w:t>.</w:t>
      </w:r>
      <w:r w:rsidR="004F00EC">
        <w:t xml:space="preserve">, </w:t>
      </w:r>
      <w:r>
        <w:t>Polypropylene fibers (0.50% by mix volume) are considered as flexible fibers to be used in foamed concrete applications due to its lightness that does not influence the uniformity of foam bubbles.</w:t>
      </w:r>
      <w:r w:rsidR="00FE68EF" w:rsidRPr="00FE68EF">
        <w:t xml:space="preserve"> </w:t>
      </w:r>
      <w:r w:rsidR="00FE68EF" w:rsidRPr="00FE68EF">
        <w:rPr>
          <w:b/>
        </w:rPr>
        <w:t>Table 4</w:t>
      </w:r>
      <w:r w:rsidR="00FE68EF">
        <w:t xml:space="preserve"> shows the attributions between the three variables, compressive strength, modulus of elasticity and </w:t>
      </w:r>
      <w:r w:rsidR="00FE68EF">
        <w:lastRenderedPageBreak/>
        <w:t>density. The empirical equations support that foamed concrete with high dry density results in higher compressive strength as well as higher modulus of elasticity.</w:t>
      </w:r>
    </w:p>
    <w:p w:rsidR="00FE68EF" w:rsidRDefault="00057D98" w:rsidP="00FE68EF">
      <w:pPr>
        <w:pStyle w:val="Heading5"/>
        <w:spacing w:line="480" w:lineRule="auto"/>
        <w:jc w:val="both"/>
      </w:pPr>
      <w:r>
        <w:t>2.1.1.</w:t>
      </w:r>
      <w:r w:rsidR="00477153">
        <w:t>3. Physical properties</w:t>
      </w:r>
    </w:p>
    <w:p w:rsidR="00FE68EF" w:rsidRDefault="00FE68EF" w:rsidP="00FE68EF">
      <w:pPr>
        <w:spacing w:line="480" w:lineRule="auto"/>
        <w:ind w:firstLine="720"/>
        <w:jc w:val="both"/>
      </w:pPr>
      <w:r>
        <w:t>Some physical properties of foamed concrete include density, drying shrinkage,</w:t>
      </w:r>
      <w:r w:rsidR="00C827DA">
        <w:t xml:space="preserve"> and</w:t>
      </w:r>
      <w:r>
        <w:t xml:space="preserve"> porosi</w:t>
      </w:r>
      <w:r w:rsidR="00C827DA">
        <w:t>ty</w:t>
      </w:r>
      <w:r>
        <w:t>.</w:t>
      </w:r>
    </w:p>
    <w:p w:rsidR="000C3B8A" w:rsidRDefault="000C3B8A" w:rsidP="000C3B8A">
      <w:pPr>
        <w:pStyle w:val="ListParagraph"/>
        <w:numPr>
          <w:ilvl w:val="0"/>
          <w:numId w:val="9"/>
        </w:numPr>
        <w:spacing w:line="480" w:lineRule="auto"/>
        <w:jc w:val="both"/>
      </w:pPr>
      <w:r>
        <w:t>Density</w:t>
      </w:r>
    </w:p>
    <w:p w:rsidR="000C3B8A" w:rsidRDefault="000C3B8A" w:rsidP="000C3B8A">
      <w:pPr>
        <w:pStyle w:val="ListParagraph"/>
        <w:spacing w:line="480" w:lineRule="auto"/>
        <w:ind w:firstLine="720"/>
        <w:jc w:val="both"/>
      </w:pPr>
      <w:r>
        <w:t>The density of mix can be measured in two phases; fresh and dry densities. The difference between values of fresh and dry density is recommended to be limited to 100–120 kg/m</w:t>
      </w:r>
      <w:r w:rsidR="005A6706">
        <w:rPr>
          <w:vertAlign w:val="superscript"/>
        </w:rPr>
        <w:t>3</w:t>
      </w:r>
      <w:r>
        <w:rPr>
          <w:vertAlign w:val="superscript"/>
        </w:rPr>
        <w:t xml:space="preserve"> </w:t>
      </w:r>
      <w:r>
        <w:t>(W.A. Thanoon, et al., 2004). The actual fresh mix density is usually measured by filling and weighing a pre-weighted standard container of known volume with the produced foamed concrete. Then, the variation between the design and achieved densities should be assessed. The most acceptable tolerance for dry density is limited to be ±50 kg/m</w:t>
      </w:r>
      <w:r w:rsidRPr="000C3B8A">
        <w:rPr>
          <w:vertAlign w:val="superscript"/>
        </w:rPr>
        <w:t>3</w:t>
      </w:r>
      <w:r>
        <w:t xml:space="preserve"> which might reach the difference up to ±100 kg/m</w:t>
      </w:r>
      <w:r w:rsidRPr="000C3B8A">
        <w:rPr>
          <w:vertAlign w:val="superscript"/>
        </w:rPr>
        <w:t>3</w:t>
      </w:r>
      <w:r>
        <w:t xml:space="preserve"> for high density foamed concrete mixes (i.e. 1600 kg/m</w:t>
      </w:r>
      <w:r w:rsidRPr="000C3B8A">
        <w:rPr>
          <w:vertAlign w:val="superscript"/>
        </w:rPr>
        <w:t>3</w:t>
      </w:r>
      <w:r>
        <w:t>) (C. Bing, et al., 2011). The method is described in BS EN 12350: Part 6: 2000. The purpose to determine the fresh density is to prepare the actual volume for the design mix and the casting control while the dry density rigorously controls the mechanical, physical and durability properties of hardened foamed concrete.</w:t>
      </w:r>
    </w:p>
    <w:p w:rsidR="000C3B8A" w:rsidRDefault="000C3B8A" w:rsidP="005A6706">
      <w:pPr>
        <w:pStyle w:val="ListParagraph"/>
        <w:numPr>
          <w:ilvl w:val="0"/>
          <w:numId w:val="9"/>
        </w:numPr>
        <w:spacing w:line="480" w:lineRule="auto"/>
        <w:jc w:val="both"/>
      </w:pPr>
      <w:r>
        <w:t xml:space="preserve">Dry shrinkage </w:t>
      </w:r>
    </w:p>
    <w:p w:rsidR="005A6706" w:rsidRDefault="005A6706" w:rsidP="005A6706">
      <w:pPr>
        <w:pStyle w:val="ListParagraph"/>
        <w:spacing w:line="480" w:lineRule="auto"/>
        <w:ind w:firstLine="720"/>
        <w:jc w:val="both"/>
      </w:pPr>
      <w:r>
        <w:t xml:space="preserve">Drying shrinkage is considered as one of drawbacks of foamed concrete that usually occurs during the first 20 days of casting time. The typical range of drying shrinkage of foamed concrete is between 0.1% and 0.35% of the total volume of the hardened concrete matrix (A.F. Roslan, et al., 2013). Also, drying shrinkage of foamed concrete is deemed as 4–10 times higher than normal concrete due to aggregate type in the mix design, higher </w:t>
      </w:r>
      <w:r>
        <w:lastRenderedPageBreak/>
        <w:t>cement and water contents and mineral admixture in foamed concrete. Actually, there is a lack of knowledge about the effect of cement content on the drying shrinkage of foamed concrete, but some researchers reported that cement content had negative influences on the performance of foamed concrete in terms of drying shrinkage which can be overcome by partial substitutions of Portland cement with other supplementary materials such as fly ash, silica fume, and lime due to a lower heat of hydration (P. Chindaprasir, et al., 2008).</w:t>
      </w:r>
    </w:p>
    <w:p w:rsidR="005A6706" w:rsidRDefault="005A6706" w:rsidP="005A6706">
      <w:pPr>
        <w:pStyle w:val="ListParagraph"/>
        <w:numPr>
          <w:ilvl w:val="0"/>
          <w:numId w:val="9"/>
        </w:numPr>
        <w:spacing w:line="480" w:lineRule="auto"/>
        <w:jc w:val="both"/>
      </w:pPr>
      <w:r>
        <w:t>Porosity</w:t>
      </w:r>
    </w:p>
    <w:p w:rsidR="005A6706" w:rsidRDefault="005A6706" w:rsidP="00477981">
      <w:pPr>
        <w:pStyle w:val="ListParagraph"/>
        <w:spacing w:line="480" w:lineRule="auto"/>
        <w:ind w:firstLine="720"/>
        <w:jc w:val="both"/>
      </w:pPr>
      <w:r>
        <w:t xml:space="preserve">The porosity of foamed concrete eases the transport of aggressive fluids inside hardened matrix of foamed concrete. The porosity depends on degree of infusion characteristics such as water absorption, sorption, and permeability </w:t>
      </w:r>
      <w:r w:rsidR="00477981">
        <w:t xml:space="preserve">(N. Narayanan, et al., 2000). </w:t>
      </w:r>
      <w:r>
        <w:t>Many factors can affect the porosity of hardened concrete such as the mix design compositions, foam agents and the curing type. It is reported that high w/c ratio significantly affects the foamed concrete and caused</w:t>
      </w:r>
      <w:r w:rsidRPr="005A6706">
        <w:t xml:space="preserve"> </w:t>
      </w:r>
      <w:r w:rsidR="00477981">
        <w:t>porosity</w:t>
      </w:r>
      <w:r w:rsidR="00477981" w:rsidRPr="00477981">
        <w:t xml:space="preserve"> </w:t>
      </w:r>
      <w:r w:rsidR="00477981">
        <w:t>(E.P. Kearsley, et al., 2002)</w:t>
      </w:r>
      <w:r>
        <w:t>. Previous works indicated that the permeability and pore size distribution of Portland limestone cement pastes increased when w/c ratio was incremented from 0.3 to 0.9 at which considerable volumes of larger pores with larger d</w:t>
      </w:r>
      <w:r w:rsidR="00477981">
        <w:t>iameters were observed (P.K. Mehta, et al., 1980 &amp; D.C. Hughes, et al., 1985).</w:t>
      </w:r>
    </w:p>
    <w:p w:rsidR="00C827DA" w:rsidRDefault="00057D98" w:rsidP="00C827DA">
      <w:pPr>
        <w:pStyle w:val="Heading5"/>
        <w:spacing w:line="480" w:lineRule="auto"/>
        <w:jc w:val="both"/>
      </w:pPr>
      <w:r>
        <w:t>2.1.1.</w:t>
      </w:r>
      <w:r w:rsidR="003C066D">
        <w:t>4</w:t>
      </w:r>
      <w:r w:rsidR="00C827DA">
        <w:t xml:space="preserve">. </w:t>
      </w:r>
      <w:r>
        <w:t>Functional properties</w:t>
      </w:r>
    </w:p>
    <w:p w:rsidR="00057D98" w:rsidRDefault="00057D98" w:rsidP="00572608">
      <w:pPr>
        <w:spacing w:line="480" w:lineRule="auto"/>
        <w:ind w:firstLine="720"/>
        <w:jc w:val="both"/>
      </w:pPr>
      <w:r>
        <w:t xml:space="preserve">Functional properties explain the actual behavior of lightweight foamed concrete in its life span; for </w:t>
      </w:r>
      <w:r>
        <w:t>instance,</w:t>
      </w:r>
      <w:r>
        <w:t xml:space="preserve"> its acoustic and</w:t>
      </w:r>
      <w:r>
        <w:t xml:space="preserve"> </w:t>
      </w:r>
      <w:r>
        <w:t>thermal insulation, and fire resistanc</w:t>
      </w:r>
      <w:r>
        <w:t>e. This section reviews the lat</w:t>
      </w:r>
      <w:r>
        <w:t>est studies on the functional properties of the foamed concrete, albeit, more research is indispensable.</w:t>
      </w:r>
    </w:p>
    <w:p w:rsidR="00477153" w:rsidRDefault="00477153" w:rsidP="00572608">
      <w:pPr>
        <w:pStyle w:val="ListParagraph"/>
        <w:numPr>
          <w:ilvl w:val="0"/>
          <w:numId w:val="11"/>
        </w:numPr>
        <w:spacing w:line="480" w:lineRule="auto"/>
        <w:jc w:val="both"/>
      </w:pPr>
      <w:r>
        <w:t>Acoustic insulation resistance</w:t>
      </w:r>
    </w:p>
    <w:p w:rsidR="00477153" w:rsidRDefault="00477153" w:rsidP="00572608">
      <w:pPr>
        <w:pStyle w:val="ListParagraph"/>
        <w:spacing w:line="480" w:lineRule="auto"/>
        <w:ind w:left="1440" w:firstLine="720"/>
        <w:jc w:val="both"/>
      </w:pPr>
      <w:r>
        <w:lastRenderedPageBreak/>
        <w:t xml:space="preserve">Recent studies show that the foamed concrete demonstrates higher acoustic insulation than </w:t>
      </w:r>
      <w:r>
        <w:t>normal concrete due to its cell-</w:t>
      </w:r>
      <w:r>
        <w:t>like m</w:t>
      </w:r>
      <w:r>
        <w:t>icrostructures (</w:t>
      </w:r>
      <w:r w:rsidR="0009170B">
        <w:t>N. Narayanan,</w:t>
      </w:r>
      <w:r w:rsidR="0009170B">
        <w:t xml:space="preserve"> et al., 2000)</w:t>
      </w:r>
      <w:r w:rsidR="003C066D">
        <w:t>.</w:t>
      </w:r>
      <w:r w:rsidR="0009170B">
        <w:t xml:space="preserve"> </w:t>
      </w:r>
      <w:r>
        <w:t>However, the sound insulation resistance or the reflected frequency volume basically depends on the actual rigidity of concrete mass (surface density). Based on the theory of solid wall sound resistance, it has been expressed that the frequency of sound reflection hypothetically relies on the thickness of the w</w:t>
      </w:r>
      <w:r w:rsidR="003C066D">
        <w:t>all and its bulk density. (</w:t>
      </w:r>
      <w:r w:rsidR="003C066D">
        <w:t>S. Tada,</w:t>
      </w:r>
      <w:r w:rsidR="003C066D">
        <w:t xml:space="preserve"> et al., 1986).</w:t>
      </w:r>
    </w:p>
    <w:p w:rsidR="003C066D" w:rsidRPr="003C066D" w:rsidRDefault="003C066D" w:rsidP="00572608">
      <w:pPr>
        <w:spacing w:line="480" w:lineRule="auto"/>
        <w:jc w:val="both"/>
        <w:rPr>
          <w:b/>
        </w:rPr>
      </w:pPr>
    </w:p>
    <w:p w:rsidR="00057D98" w:rsidRDefault="00057D98" w:rsidP="00572608">
      <w:pPr>
        <w:pStyle w:val="ListParagraph"/>
        <w:numPr>
          <w:ilvl w:val="0"/>
          <w:numId w:val="11"/>
        </w:numPr>
        <w:spacing w:line="480" w:lineRule="auto"/>
      </w:pPr>
      <w:r>
        <w:t>Thermal insulation</w:t>
      </w:r>
    </w:p>
    <w:p w:rsidR="00057D98" w:rsidRPr="00057D98" w:rsidRDefault="00057D98" w:rsidP="00572608">
      <w:pPr>
        <w:spacing w:line="480" w:lineRule="auto"/>
      </w:pPr>
    </w:p>
    <w:p w:rsidR="001D5555" w:rsidRDefault="00C827DA" w:rsidP="00572608">
      <w:pPr>
        <w:spacing w:line="480" w:lineRule="auto"/>
        <w:ind w:left="1440" w:firstLine="720"/>
        <w:jc w:val="both"/>
      </w:pPr>
      <w:r>
        <w:t>Foamed concrete is one of the lightweight concrete materials that consist of closed-cell structure which has thermal conductivity of up to 0.66 W/mK at 1600 kg/m</w:t>
      </w:r>
      <w:r w:rsidRPr="00C827DA">
        <w:rPr>
          <w:vertAlign w:val="superscript"/>
        </w:rPr>
        <w:t>3</w:t>
      </w:r>
      <w:r>
        <w:t xml:space="preserve"> density. Normal concrete has thermal conductivity of 1.6 W/mK at 2200 kg/m</w:t>
      </w:r>
      <w:r w:rsidRPr="00C827DA">
        <w:rPr>
          <w:vertAlign w:val="superscript"/>
        </w:rPr>
        <w:t>3</w:t>
      </w:r>
      <w:r w:rsidR="001D5555">
        <w:t xml:space="preserve"> (N. Mohd Zahari, et al., 2009); </w:t>
      </w:r>
      <w:r w:rsidR="001D5555">
        <w:t>59% higher than foamed concrete resistance.</w:t>
      </w:r>
    </w:p>
    <w:p w:rsidR="00F328AF" w:rsidRDefault="00F328AF" w:rsidP="00572608">
      <w:pPr>
        <w:spacing w:line="480" w:lineRule="auto"/>
        <w:ind w:left="720" w:firstLine="720"/>
        <w:jc w:val="center"/>
      </w:pPr>
      <w:r w:rsidRPr="00F328AF">
        <w:rPr>
          <w:noProof/>
        </w:rPr>
        <w:drawing>
          <wp:inline distT="0" distB="0" distL="0" distR="0" wp14:anchorId="38214A3B" wp14:editId="70298FD3">
            <wp:extent cx="4791075" cy="2228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2228850"/>
                    </a:xfrm>
                    <a:prstGeom prst="rect">
                      <a:avLst/>
                    </a:prstGeom>
                  </pic:spPr>
                </pic:pic>
              </a:graphicData>
            </a:graphic>
          </wp:inline>
        </w:drawing>
      </w:r>
      <w:r>
        <w:t>Figure</w:t>
      </w:r>
      <w:r w:rsidR="00572608">
        <w:t xml:space="preserve"> 2.</w:t>
      </w:r>
      <w:r w:rsidR="00D833DD">
        <w:fldChar w:fldCharType="begin"/>
      </w:r>
      <w:r w:rsidR="00D833DD">
        <w:instrText xml:space="preserve"> SEQ Figure \* ARABIC </w:instrText>
      </w:r>
      <w:r w:rsidR="00D833DD">
        <w:fldChar w:fldCharType="separate"/>
      </w:r>
      <w:r>
        <w:rPr>
          <w:noProof/>
        </w:rPr>
        <w:t>1</w:t>
      </w:r>
      <w:r w:rsidR="00D833DD">
        <w:rPr>
          <w:noProof/>
        </w:rPr>
        <w:fldChar w:fldCharType="end"/>
      </w:r>
      <w:r>
        <w:t xml:space="preserve"> Thermal conductivity value</w:t>
      </w:r>
    </w:p>
    <w:p w:rsidR="001D5555" w:rsidRDefault="00F328AF" w:rsidP="00572608">
      <w:pPr>
        <w:spacing w:line="480" w:lineRule="auto"/>
        <w:ind w:left="1440"/>
        <w:jc w:val="both"/>
      </w:pPr>
      <w:r>
        <w:lastRenderedPageBreak/>
        <w:t>Thermal conductivities of foam concretes are given in Fig.</w:t>
      </w:r>
      <w:r w:rsidR="00572608">
        <w:t xml:space="preserve"> 2.</w:t>
      </w:r>
      <w:r>
        <w:t>1. The values vary between 0.058 and 0.237 W/mK. At ambient temperature, the specimens containing a high cement content present a high thermal conductivity coefficient. The foam volume is increased in the mixture, the value decreases. The foam concrete with low thermal conductivity presents a desirable thermal performance the fact that it has closed cellular body.</w:t>
      </w:r>
    </w:p>
    <w:p w:rsidR="00F328AF" w:rsidRDefault="001D5555" w:rsidP="00572608">
      <w:pPr>
        <w:spacing w:line="480" w:lineRule="auto"/>
        <w:ind w:left="1440" w:firstLine="720"/>
        <w:jc w:val="both"/>
      </w:pPr>
      <w:r>
        <w:t>It was observed that the thermal conductivity reacts proportionally with a density and the thermal insulation characteristic decreases when the density volume increase</w:t>
      </w:r>
      <w:r w:rsidR="00AA7738">
        <w:t>s. In another study by Jones &amp;</w:t>
      </w:r>
      <w:r>
        <w:t xml:space="preserve"> McCarthy </w:t>
      </w:r>
      <w:r>
        <w:t xml:space="preserve">(2006), </w:t>
      </w:r>
      <w:r>
        <w:t>it was shown that the thermal conductivity ranges between 0.23 and 0.42 W/mK at dry de</w:t>
      </w:r>
      <w:r>
        <w:t>nsities of 1000 and 1200 kg/m3</w:t>
      </w:r>
      <w:r>
        <w:t>. Besides, the moderate filling of porous mortar with polystyrene granules can produce foamed concrete with density range of 200–650 kg/m3 with thermal cond</w:t>
      </w:r>
      <w:r w:rsidR="00210DC8">
        <w:t>uctivity of 0.06–0.16 W/mK (</w:t>
      </w:r>
      <w:r w:rsidR="00210DC8">
        <w:t>A. Proshin</w:t>
      </w:r>
      <w:r w:rsidR="00210DC8">
        <w:t>, et al., 2005)</w:t>
      </w:r>
      <w:r>
        <w:t>. It is specified that with each 100 kg/m3 reduction</w:t>
      </w:r>
      <w:r>
        <w:t xml:space="preserve"> of density, the thermal insula</w:t>
      </w:r>
      <w:r>
        <w:t>tion will drop by 0.04 W/mK of the total thermal insulation of foamed concrete. In practice, foamed concrete slabs demonstrate a superior thermal insulation behavior enhanced with minimized sorptiv</w:t>
      </w:r>
      <w:r w:rsidR="00210DC8">
        <w:t>ity and increased strength (</w:t>
      </w:r>
      <w:r w:rsidR="00210DC8">
        <w:t>A. Giannakou</w:t>
      </w:r>
      <w:r w:rsidR="00210DC8">
        <w:t>, et al., 2002)</w:t>
      </w:r>
      <w:r>
        <w:t>. Also, another study on wall brick masonry revealed that usi</w:t>
      </w:r>
      <w:r>
        <w:t>ng the foamed concrete with den</w:t>
      </w:r>
      <w:r>
        <w:t>sity of 800 kg/m3 in the inner leaf of the wall increased the thermal insulation by up to 23% co</w:t>
      </w:r>
      <w:r w:rsidR="00210DC8">
        <w:t>mparing to normal concrete (</w:t>
      </w:r>
      <w:r w:rsidR="00210DC8">
        <w:t>S.B. Park</w:t>
      </w:r>
      <w:r w:rsidR="00210DC8">
        <w:t>, et al., 1999).</w:t>
      </w:r>
    </w:p>
    <w:p w:rsidR="00AA7738" w:rsidRDefault="00AA7738" w:rsidP="00572608">
      <w:pPr>
        <w:pStyle w:val="ListParagraph"/>
        <w:numPr>
          <w:ilvl w:val="0"/>
          <w:numId w:val="11"/>
        </w:numPr>
        <w:spacing w:line="480" w:lineRule="auto"/>
        <w:jc w:val="both"/>
      </w:pPr>
      <w:r>
        <w:t>F</w:t>
      </w:r>
      <w:r>
        <w:t>ire resistance</w:t>
      </w:r>
    </w:p>
    <w:p w:rsidR="00AA7738" w:rsidRDefault="00AA7738" w:rsidP="00572608">
      <w:pPr>
        <w:pStyle w:val="ListParagraph"/>
        <w:spacing w:line="480" w:lineRule="auto"/>
        <w:ind w:left="1440" w:firstLine="720"/>
        <w:jc w:val="both"/>
      </w:pPr>
      <w:r>
        <w:t>The available research work</w:t>
      </w:r>
      <w:r>
        <w:t>s show that foamed concrete pro</w:t>
      </w:r>
      <w:r>
        <w:t xml:space="preserve">vides an acceptable fire resistance compared to normal concrete although it suffers from an </w:t>
      </w:r>
      <w:r>
        <w:lastRenderedPageBreak/>
        <w:t>excess</w:t>
      </w:r>
      <w:r>
        <w:t>ive shrinkage due to high evapo</w:t>
      </w:r>
      <w:r>
        <w:t>ration rates when expose</w:t>
      </w:r>
      <w:r>
        <w:t>d to elevated temperatures (</w:t>
      </w:r>
      <w:r>
        <w:t>J. Sach,</w:t>
      </w:r>
      <w:r>
        <w:t xml:space="preserve"> et al., 1999)</w:t>
      </w:r>
      <w:r>
        <w:t>. The capacity of foamed concrete to resist fire depends on its mixture proportions, compositions and constituents. In general, whenever, the density of foamed concrete dec</w:t>
      </w:r>
      <w:r>
        <w:t>reases, its fire resistance pro</w:t>
      </w:r>
      <w:r>
        <w:t>portionally increases. Foamed concrete has the capability to resist fire with a range close to normal concrete. Reportedly, concrete with densities of 950 kg/m</w:t>
      </w:r>
      <w:r w:rsidRPr="00AA7738">
        <w:rPr>
          <w:vertAlign w:val="superscript"/>
        </w:rPr>
        <w:t>3</w:t>
      </w:r>
      <w:r>
        <w:t xml:space="preserve"> and 1200 kg/m</w:t>
      </w:r>
      <w:r w:rsidRPr="00AA7738">
        <w:rPr>
          <w:vertAlign w:val="superscript"/>
        </w:rPr>
        <w:t>3</w:t>
      </w:r>
      <w:r>
        <w:t xml:space="preserve"> can withstand fi</w:t>
      </w:r>
      <w:r>
        <w:t>re for 3.5h and 2</w:t>
      </w:r>
      <w:r>
        <w:t>h, re</w:t>
      </w:r>
      <w:r>
        <w:t>spectively. Vilches et al. (2012)</w:t>
      </w:r>
      <w:r>
        <w:t xml:space="preserve"> reported that foamed concrete with a density of 400 kg/m</w:t>
      </w:r>
      <w:r w:rsidRPr="00AA7738">
        <w:rPr>
          <w:vertAlign w:val="superscript"/>
        </w:rPr>
        <w:t>3</w:t>
      </w:r>
      <w:r>
        <w:t xml:space="preserve"> showed a rate of resistance to fire which was three times lower than the on</w:t>
      </w:r>
      <w:r>
        <w:t>e with dry density of 150 kg/m</w:t>
      </w:r>
      <w:r w:rsidRPr="00AA7738">
        <w:rPr>
          <w:vertAlign w:val="superscript"/>
        </w:rPr>
        <w:t>3</w:t>
      </w:r>
      <w:r>
        <w:t>.</w:t>
      </w:r>
    </w:p>
    <w:p w:rsidR="00EC5DD1" w:rsidRDefault="00572608" w:rsidP="00EC5DD1">
      <w:pPr>
        <w:pStyle w:val="Heading4"/>
        <w:spacing w:line="480" w:lineRule="auto"/>
      </w:pPr>
      <w:r>
        <w:t>2.1.</w:t>
      </w:r>
      <w:r>
        <w:t>2</w:t>
      </w:r>
      <w:r>
        <w:t>.</w:t>
      </w:r>
      <w:r w:rsidRPr="00BD776D">
        <w:t xml:space="preserve"> </w:t>
      </w:r>
      <w:r>
        <w:t xml:space="preserve">Applications of </w:t>
      </w:r>
      <w:r w:rsidRPr="00BD776D">
        <w:t>Hybrid Foam Concrete</w:t>
      </w:r>
    </w:p>
    <w:p w:rsidR="00E62B81" w:rsidRDefault="00EC5DD1" w:rsidP="005F343E">
      <w:pPr>
        <w:spacing w:line="480" w:lineRule="auto"/>
        <w:ind w:firstLine="720"/>
        <w:jc w:val="both"/>
      </w:pPr>
      <w:r>
        <w:t>Due to distinctive properties of foamed concrete including density reduction, low thermal conductivity, high flowability and self-compacting concrete, and given the ease of producers and its relatively cost-effectiveness, fo</w:t>
      </w:r>
      <w:r>
        <w:t>amed concrete has found applica</w:t>
      </w:r>
      <w:r>
        <w:t xml:space="preserve">tions in many civil and structural engineering areas </w:t>
      </w:r>
      <w:r w:rsidR="006575D5">
        <w:t>(</w:t>
      </w:r>
      <w:r>
        <w:t>Ramamurthy, K. et al., 2009</w:t>
      </w:r>
      <w:r w:rsidR="006575D5">
        <w:t xml:space="preserve">). </w:t>
      </w:r>
      <w:r>
        <w:t>For example, the low density foamed concrete has been used for cavity filling and insulation while the hi</w:t>
      </w:r>
      <w:r>
        <w:t>gh densities were used in struc</w:t>
      </w:r>
      <w:r>
        <w:t xml:space="preserve">tural applications </w:t>
      </w:r>
      <w:r w:rsidR="006575D5">
        <w:t>(</w:t>
      </w:r>
      <w:r w:rsidR="006575D5">
        <w:t>A. Just,</w:t>
      </w:r>
      <w:r w:rsidR="006575D5">
        <w:t xml:space="preserve"> et al., 2009).</w:t>
      </w:r>
      <w:r w:rsidR="006575D5">
        <w:t xml:space="preserve"> </w:t>
      </w:r>
    </w:p>
    <w:p w:rsidR="00EC5DD1" w:rsidRPr="00EC5DD1" w:rsidRDefault="00EC5DD1" w:rsidP="005F343E">
      <w:pPr>
        <w:spacing w:line="480" w:lineRule="auto"/>
        <w:ind w:firstLine="720"/>
        <w:jc w:val="both"/>
      </w:pPr>
      <w:r>
        <w:t>Other applications of foamed concrete include (1) production of lightweight blocks and pre-cast panels, (2) fire insulation, (3) thermal and acoustic insulation, (4) road sub-base, (5) trench reinstatement, (6) soil stabilization and (7) shock absorbing barriers for airports and reg</w:t>
      </w:r>
      <w:r w:rsidR="006575D5">
        <w:t>ular traffic (</w:t>
      </w:r>
      <w:r w:rsidR="006575D5">
        <w:t>N. Uddin</w:t>
      </w:r>
      <w:r w:rsidR="006575D5">
        <w:t xml:space="preserve">, et al., 2006 &amp; </w:t>
      </w:r>
      <w:r w:rsidR="006575D5">
        <w:t>Ramamurthy, K.</w:t>
      </w:r>
      <w:r w:rsidR="006575D5">
        <w:t>,</w:t>
      </w:r>
      <w:r w:rsidR="006575D5">
        <w:t xml:space="preserve"> et al., 2009</w:t>
      </w:r>
      <w:r w:rsidR="006575D5">
        <w:t>)</w:t>
      </w:r>
      <w:r>
        <w:t>. Also, due to flowability features, it is a superlative material for voids such as old sewers, storage tanks, basements, ducts and voids under roadways occur</w:t>
      </w:r>
      <w:r w:rsidR="006575D5">
        <w:t xml:space="preserve">red by cliff of heavy rains (S. Mindess Ed., 2014). </w:t>
      </w:r>
    </w:p>
    <w:p w:rsidR="00742BBB" w:rsidRPr="004F1FCF" w:rsidRDefault="00572608" w:rsidP="00EC5DD1">
      <w:pPr>
        <w:pStyle w:val="Heading3"/>
        <w:spacing w:line="480" w:lineRule="auto"/>
        <w:jc w:val="both"/>
      </w:pPr>
      <w:bookmarkStart w:id="3" w:name="_Toc183546517"/>
      <w:r>
        <w:lastRenderedPageBreak/>
        <w:t>2</w:t>
      </w:r>
      <w:r w:rsidR="00742BBB">
        <w:t xml:space="preserve">.2. </w:t>
      </w:r>
      <w:r w:rsidR="00742BBB" w:rsidRPr="004F1FCF">
        <w:t>Palm Kernel Oil (PKO) as a Natural Surfactant</w:t>
      </w:r>
      <w:bookmarkEnd w:id="3"/>
    </w:p>
    <w:p w:rsidR="00742BBB" w:rsidRDefault="00742BBB" w:rsidP="00AE641D">
      <w:pPr>
        <w:pStyle w:val="NormalWeb"/>
        <w:spacing w:line="480" w:lineRule="auto"/>
        <w:ind w:firstLine="720"/>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lauric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 </w:t>
      </w:r>
    </w:p>
    <w:p w:rsidR="009952F5" w:rsidRDefault="00EC5DD1" w:rsidP="00E62B81">
      <w:pPr>
        <w:pStyle w:val="Heading3"/>
        <w:spacing w:line="480" w:lineRule="auto"/>
      </w:pPr>
      <w:r>
        <w:t>2</w:t>
      </w:r>
      <w:r>
        <w:t>.3</w:t>
      </w:r>
      <w:r>
        <w:t xml:space="preserve">. </w:t>
      </w:r>
      <w:r w:rsidR="00E62B81">
        <w:t>Foaming Agent</w:t>
      </w:r>
    </w:p>
    <w:p w:rsidR="00E62B81" w:rsidRPr="00E62B81" w:rsidRDefault="00F07508" w:rsidP="00E62B81">
      <w:pPr>
        <w:spacing w:line="480" w:lineRule="auto"/>
      </w:pPr>
      <w:r>
        <w:tab/>
      </w:r>
      <w:r>
        <w:t>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w:t>
      </w:r>
      <w:r w:rsidR="00AD0070">
        <w:t>in soap, and saponin, (</w:t>
      </w:r>
      <w:r w:rsidR="00AD0070">
        <w:t>C. Bing,</w:t>
      </w:r>
      <w:r w:rsidR="00AD0070">
        <w:t xml:space="preserve"> et al., 2011)</w:t>
      </w:r>
      <w:r>
        <w:t>. The most common foam agents are synthetic and protein based. The protein based foam agents result in a stronger and a more closed-cell bubble structure which permits the inclusion of greater amounts of air and also provides a more stable air void network while the synthetic ones yield greater expansion and</w:t>
      </w:r>
      <w:r>
        <w:t xml:space="preserve"> thus lower density </w:t>
      </w:r>
      <w:r w:rsidR="00AD0070">
        <w:t>(</w:t>
      </w:r>
      <w:r w:rsidR="00AD0070">
        <w:t>N. Beningfield</w:t>
      </w:r>
      <w:bookmarkStart w:id="4" w:name="_GoBack"/>
      <w:bookmarkEnd w:id="4"/>
      <w:r w:rsidR="00AD0070">
        <w:t>,</w:t>
      </w:r>
      <w:r w:rsidR="00AD0070">
        <w:t xml:space="preserve"> et al., 2005)</w:t>
      </w:r>
      <w:r>
        <w:t>.</w:t>
      </w:r>
    </w:p>
    <w:sectPr w:rsidR="00E62B81" w:rsidRPr="00E62B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DD" w:rsidRDefault="00D833DD" w:rsidP="0074381E">
      <w:pPr>
        <w:spacing w:after="0" w:line="240" w:lineRule="auto"/>
      </w:pPr>
      <w:r>
        <w:separator/>
      </w:r>
    </w:p>
  </w:endnote>
  <w:endnote w:type="continuationSeparator" w:id="0">
    <w:p w:rsidR="00D833DD" w:rsidRDefault="00D833DD" w:rsidP="007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DD" w:rsidRDefault="00D833DD" w:rsidP="0074381E">
      <w:pPr>
        <w:spacing w:after="0" w:line="240" w:lineRule="auto"/>
      </w:pPr>
      <w:r>
        <w:separator/>
      </w:r>
    </w:p>
  </w:footnote>
  <w:footnote w:type="continuationSeparator" w:id="0">
    <w:p w:rsidR="00D833DD" w:rsidRDefault="00D833DD" w:rsidP="0074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6FF"/>
    <w:multiLevelType w:val="hybridMultilevel"/>
    <w:tmpl w:val="DF600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8D9"/>
    <w:multiLevelType w:val="hybridMultilevel"/>
    <w:tmpl w:val="AB2C5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7BF7"/>
    <w:multiLevelType w:val="hybridMultilevel"/>
    <w:tmpl w:val="F49EF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667AA"/>
    <w:multiLevelType w:val="hybridMultilevel"/>
    <w:tmpl w:val="6C846F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F97E71"/>
    <w:multiLevelType w:val="hybridMultilevel"/>
    <w:tmpl w:val="CCC07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F50CD"/>
    <w:multiLevelType w:val="hybridMultilevel"/>
    <w:tmpl w:val="24BCA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D41A3"/>
    <w:multiLevelType w:val="hybridMultilevel"/>
    <w:tmpl w:val="8A881A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E2272"/>
    <w:multiLevelType w:val="hybridMultilevel"/>
    <w:tmpl w:val="64B4B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62CC9"/>
    <w:multiLevelType w:val="hybridMultilevel"/>
    <w:tmpl w:val="8FFE6A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F18F6"/>
    <w:multiLevelType w:val="hybridMultilevel"/>
    <w:tmpl w:val="A5CC2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8"/>
  </w:num>
  <w:num w:numId="5">
    <w:abstractNumId w:val="6"/>
  </w:num>
  <w:num w:numId="6">
    <w:abstractNumId w:val="9"/>
  </w:num>
  <w:num w:numId="7">
    <w:abstractNumId w:val="0"/>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057D98"/>
    <w:rsid w:val="0009170B"/>
    <w:rsid w:val="000A0C2E"/>
    <w:rsid w:val="000C3B8A"/>
    <w:rsid w:val="00182C66"/>
    <w:rsid w:val="00187005"/>
    <w:rsid w:val="001D12F1"/>
    <w:rsid w:val="001D5555"/>
    <w:rsid w:val="00210DC8"/>
    <w:rsid w:val="00215D20"/>
    <w:rsid w:val="00260F32"/>
    <w:rsid w:val="002F4521"/>
    <w:rsid w:val="00322CFD"/>
    <w:rsid w:val="00370308"/>
    <w:rsid w:val="003A610A"/>
    <w:rsid w:val="003C066D"/>
    <w:rsid w:val="00477153"/>
    <w:rsid w:val="00477981"/>
    <w:rsid w:val="004F00EC"/>
    <w:rsid w:val="00572608"/>
    <w:rsid w:val="005A6706"/>
    <w:rsid w:val="005E4876"/>
    <w:rsid w:val="005F3359"/>
    <w:rsid w:val="005F343E"/>
    <w:rsid w:val="006575D5"/>
    <w:rsid w:val="00721C59"/>
    <w:rsid w:val="00742BBB"/>
    <w:rsid w:val="0074381E"/>
    <w:rsid w:val="007657C6"/>
    <w:rsid w:val="0077302D"/>
    <w:rsid w:val="007A30E6"/>
    <w:rsid w:val="007E3EEA"/>
    <w:rsid w:val="007E7F73"/>
    <w:rsid w:val="009952F5"/>
    <w:rsid w:val="00A67CF7"/>
    <w:rsid w:val="00A903C5"/>
    <w:rsid w:val="00AA7738"/>
    <w:rsid w:val="00AD0070"/>
    <w:rsid w:val="00AE641D"/>
    <w:rsid w:val="00AF0CD9"/>
    <w:rsid w:val="00B44BAE"/>
    <w:rsid w:val="00BA6ABD"/>
    <w:rsid w:val="00BB2217"/>
    <w:rsid w:val="00BD776D"/>
    <w:rsid w:val="00C032CB"/>
    <w:rsid w:val="00C07C9A"/>
    <w:rsid w:val="00C32B2A"/>
    <w:rsid w:val="00C827DA"/>
    <w:rsid w:val="00CA298B"/>
    <w:rsid w:val="00CC5E60"/>
    <w:rsid w:val="00D66FC3"/>
    <w:rsid w:val="00D833DD"/>
    <w:rsid w:val="00DE1141"/>
    <w:rsid w:val="00DF1856"/>
    <w:rsid w:val="00E11E13"/>
    <w:rsid w:val="00E62B81"/>
    <w:rsid w:val="00EC5DD1"/>
    <w:rsid w:val="00ED748C"/>
    <w:rsid w:val="00F07508"/>
    <w:rsid w:val="00F328AF"/>
    <w:rsid w:val="00FE68EF"/>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2E74"/>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BD776D"/>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D748C"/>
    <w:pPr>
      <w:keepNext/>
      <w:keepLines/>
      <w:spacing w:before="40" w:after="0"/>
      <w:outlineLvl w:val="4"/>
    </w:pPr>
    <w:rPr>
      <w:rFonts w:eastAsiaTheme="majorEastAsia" w:cstheme="majorBidi"/>
      <w: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 w:type="character" w:customStyle="1" w:styleId="Heading4Char">
    <w:name w:val="Heading 4 Char"/>
    <w:basedOn w:val="DefaultParagraphFont"/>
    <w:link w:val="Heading4"/>
    <w:uiPriority w:val="9"/>
    <w:rsid w:val="00BD776D"/>
    <w:rPr>
      <w:rFonts w:ascii="Times New Roman" w:eastAsiaTheme="majorEastAsia" w:hAnsi="Times New Roman" w:cstheme="majorBidi"/>
      <w:i/>
      <w:iCs/>
      <w:color w:val="2E74B5" w:themeColor="accent1" w:themeShade="BF"/>
      <w:sz w:val="24"/>
    </w:rPr>
  </w:style>
  <w:style w:type="paragraph" w:styleId="ListParagraph">
    <w:name w:val="List Paragraph"/>
    <w:basedOn w:val="Normal"/>
    <w:uiPriority w:val="34"/>
    <w:qFormat/>
    <w:rsid w:val="00DE1141"/>
    <w:pPr>
      <w:ind w:left="720"/>
      <w:contextualSpacing/>
    </w:pPr>
  </w:style>
  <w:style w:type="character" w:customStyle="1" w:styleId="Heading5Char">
    <w:name w:val="Heading 5 Char"/>
    <w:basedOn w:val="DefaultParagraphFont"/>
    <w:link w:val="Heading5"/>
    <w:uiPriority w:val="9"/>
    <w:rsid w:val="00ED748C"/>
    <w:rPr>
      <w:rFonts w:ascii="Times New Roman" w:eastAsiaTheme="majorEastAsia" w:hAnsi="Times New Roman" w:cstheme="majorBidi"/>
      <w:i/>
      <w:color w:val="2E74B5" w:themeColor="accent1" w:themeShade="BF"/>
      <w:sz w:val="24"/>
    </w:rPr>
  </w:style>
  <w:style w:type="table" w:styleId="TableGrid">
    <w:name w:val="Table Grid"/>
    <w:basedOn w:val="TableNormal"/>
    <w:uiPriority w:val="39"/>
    <w:rsid w:val="0037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1E"/>
    <w:rPr>
      <w:rFonts w:ascii="Times New Roman" w:hAnsi="Times New Roman"/>
      <w:sz w:val="24"/>
    </w:rPr>
  </w:style>
  <w:style w:type="paragraph" w:styleId="Footer">
    <w:name w:val="footer"/>
    <w:basedOn w:val="Normal"/>
    <w:link w:val="FooterChar"/>
    <w:uiPriority w:val="99"/>
    <w:unhideWhenUsed/>
    <w:rsid w:val="0074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1E"/>
    <w:rPr>
      <w:rFonts w:ascii="Times New Roman" w:hAnsi="Times New Roman"/>
      <w:sz w:val="24"/>
    </w:rPr>
  </w:style>
  <w:style w:type="paragraph" w:styleId="Caption">
    <w:name w:val="caption"/>
    <w:basedOn w:val="Normal"/>
    <w:next w:val="Normal"/>
    <w:uiPriority w:val="35"/>
    <w:unhideWhenUsed/>
    <w:qFormat/>
    <w:rsid w:val="00F328A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5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FB85-B7A5-4A79-B9D3-49E37621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15</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9</cp:revision>
  <dcterms:created xsi:type="dcterms:W3CDTF">2025-01-28T12:21:00Z</dcterms:created>
  <dcterms:modified xsi:type="dcterms:W3CDTF">2025-02-16T14:12:00Z</dcterms:modified>
</cp:coreProperties>
</file>